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2">
      <w:pPr>
        <w:spacing w:after="30" w:lineRule="auto"/>
        <w:ind w:left="7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06.06.2023</w:t>
      </w:r>
    </w:p>
    <w:p w:rsidR="00000000" w:rsidDel="00000000" w:rsidP="00000000" w:rsidRDefault="00000000" w:rsidRPr="00000000" w14:paraId="00000003">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spacing w:after="30" w:lineRule="auto"/>
        <w:ind w:left="720" w:firstLine="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Comunicat de presă</w:t>
      </w:r>
    </w:p>
    <w:p w:rsidR="00000000" w:rsidDel="00000000" w:rsidP="00000000" w:rsidRDefault="00000000" w:rsidRPr="00000000" w14:paraId="00000005">
      <w:pPr>
        <w:spacing w:after="30" w:lineRule="auto"/>
        <w:ind w:left="720" w:firstLine="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Campania națională de verificare a modului în care sunt respectate cerințele minime pentru îmbunătățirea securității și protecția sănătății lucrătorilor de către angajatorii care desfășoară activități de producție, depozitare și comercializare a carburanților auto</w:t>
      </w:r>
    </w:p>
    <w:p w:rsidR="00000000" w:rsidDel="00000000" w:rsidP="00000000" w:rsidRDefault="00000000" w:rsidRPr="00000000" w14:paraId="00000006">
      <w:pPr>
        <w:spacing w:after="30" w:lineRule="auto"/>
        <w:ind w:left="720"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7">
      <w:pPr>
        <w:spacing w:after="30" w:lineRule="auto"/>
        <w:ind w:left="720"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8">
      <w:pPr>
        <w:spacing w:after="30" w:lineRule="auto"/>
        <w:ind w:left="709"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Inspectoratul Teritorial de Muncă Galați (I.T.M.) desfășoară în trimestrele II și al III campania națională de verificare a modului în care sunt respectate cerințele minime pentru îmbunătățirea securității și protecția sănătății lucrătorilor de către angajatorii care desfășoară activități de producție, depozitare și comercializare a carburanților auto, acțiune înscrisă în Program Propriu de Acțiuni al Inspectoratului Teritorial de Muncă pentru anul 2023 aprobat de Inspecția Muncii</w:t>
      </w:r>
    </w:p>
    <w:p w:rsidR="00000000" w:rsidDel="00000000" w:rsidP="00000000" w:rsidRDefault="00000000" w:rsidRPr="00000000" w14:paraId="00000009">
      <w:pPr>
        <w:spacing w:after="3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i w:val="1"/>
          <w:sz w:val="24"/>
          <w:szCs w:val="24"/>
          <w:rtl w:val="0"/>
        </w:rPr>
        <w:t xml:space="preserve">Motivarea acțiunii</w:t>
      </w:r>
      <w:r w:rsidDel="00000000" w:rsidR="00000000" w:rsidRPr="00000000">
        <w:rPr>
          <w:rFonts w:ascii="Trebuchet MS" w:cs="Trebuchet MS" w:eastAsia="Trebuchet MS" w:hAnsi="Trebuchet MS"/>
          <w:sz w:val="24"/>
          <w:szCs w:val="24"/>
          <w:rtl w:val="0"/>
        </w:rPr>
        <w:t xml:space="preserve">:</w:t>
      </w:r>
    </w:p>
    <w:p w:rsidR="00000000" w:rsidDel="00000000" w:rsidP="00000000" w:rsidRDefault="00000000" w:rsidRPr="00000000" w14:paraId="0000000A">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 cunoaște faptul că hidrocarburile procesate în rafinării sunt foarte inflamabile și, în funcție de punctul lor de inflamabilitate, pot da naștere atmosferelor explozive la temperatura ambiantă sau amestecurilor explozive, la temperaturi ridicate specifice procesului tehnologic. Produsele obținute din prelucrarea țițeiului în rafinării și anume benzina auto, motorina, gazul petrolier lichefiat (GPL) sunt de asemenea extrem de inflamabile și pot forma cu aerul amestecuri explozive. În contact cu surse potențiale de aprindere, aceste amestecuri explozive pot genera explozii cu consecințe grave, atât pentru lucrători cât și pentru mediu.</w:t>
      </w:r>
    </w:p>
    <w:p w:rsidR="00000000" w:rsidDel="00000000" w:rsidP="00000000" w:rsidRDefault="00000000" w:rsidRPr="00000000" w14:paraId="0000000B">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 atare, în stațiile de distribuție a carburanților auto sunt comercializate diferite sortimente de benzină, motorină și gaz petrolier lichefiat (GPL) auto, precum și recipiente – butelii de 26 litri cu gaz petrolier lichefiat (aragaz), pentru utilizare casnică. Toți carburanții sus amintiți sunt produse petroliere obținute din prelucrarea țițeiului, extrem de inflamabile și care formează cu aerul amestecuri explozive. În contact cu surse potențiale de aprindere pot genera explozii cu consecințe grave, atât pentru lucrători cât și pentru clienții prezenți în stațiile de distribuție carburanți.</w:t>
      </w:r>
    </w:p>
    <w:p w:rsidR="00000000" w:rsidDel="00000000" w:rsidP="00000000" w:rsidRDefault="00000000" w:rsidRPr="00000000" w14:paraId="0000000C">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Întrucât exploziile și incendiile pot provoca pierderi umane, daune materiale și au un impact deosebit de grav asupra mediului înconjurător, evaluarea riscului de explozie și incendiu, precum și stabilirea măsurilor adecvate de reducere a acestora la nivele acceptabile, capătă o importanță deosebită pentru securitatea și sănătatea lucrătorilor.</w:t>
      </w:r>
    </w:p>
    <w:p w:rsidR="00000000" w:rsidDel="00000000" w:rsidP="00000000" w:rsidRDefault="00000000" w:rsidRPr="00000000" w14:paraId="0000000D">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E">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Acțiunile Inspecției Muncii pe anul 2022 în unitățile de distribuție a carburanților auto și rafinării au relevat faptul că nu toți angajatorii din aceste domenii respectă prevederile legale privind cerințele minime pentru îmbunătățirea securității și protecția sănătății lucrătorilor. Ca urmare, a apărut necesitatea continuării acestor demersuri, prin inițierea și desfășurarea unei noi campanii naționale de verificare în acest domeniu și în decursul anului 2023.</w:t>
      </w:r>
    </w:p>
    <w:p w:rsidR="00000000" w:rsidDel="00000000" w:rsidP="00000000" w:rsidRDefault="00000000" w:rsidRPr="00000000" w14:paraId="0000000F">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i w:val="1"/>
          <w:sz w:val="24"/>
          <w:szCs w:val="24"/>
          <w:rtl w:val="0"/>
        </w:rPr>
        <w:t xml:space="preserve">Obiectivele campaniei de control</w:t>
      </w:r>
      <w:r w:rsidDel="00000000" w:rsidR="00000000" w:rsidRPr="00000000">
        <w:rPr>
          <w:rFonts w:ascii="Trebuchet MS" w:cs="Trebuchet MS" w:eastAsia="Trebuchet MS" w:hAnsi="Trebuchet MS"/>
          <w:sz w:val="24"/>
          <w:szCs w:val="24"/>
          <w:rtl w:val="0"/>
        </w:rPr>
        <w:t xml:space="preserve"> sunt următoarele:</w:t>
      </w:r>
    </w:p>
    <w:p w:rsidR="00000000" w:rsidDel="00000000" w:rsidP="00000000" w:rsidRDefault="00000000" w:rsidRPr="00000000" w14:paraId="00000010">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Deținerea de către toții utilizatorii a certificatului ”in situ” , pentru instalațiile care funcționează în mediu potențial exploziv (inclusiv reexaminările acestuia),</w:t>
      </w:r>
    </w:p>
    <w:p w:rsidR="00000000" w:rsidDel="00000000" w:rsidP="00000000" w:rsidRDefault="00000000" w:rsidRPr="00000000" w14:paraId="00000011">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Asigurarea purtării de către toți lucrătorii expuși la atmosfere explozive a echipamentelor individuale de protecție adecvate,</w:t>
      </w:r>
    </w:p>
    <w:p w:rsidR="00000000" w:rsidDel="00000000" w:rsidP="00000000" w:rsidRDefault="00000000" w:rsidRPr="00000000" w14:paraId="00000012">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Respectarea de către toți angajatorii a instrucțiunilor scrise privind folosirea surselor de foc deschis și fumatul la locurile de muncă,</w:t>
      </w:r>
    </w:p>
    <w:p w:rsidR="00000000" w:rsidDel="00000000" w:rsidP="00000000" w:rsidRDefault="00000000" w:rsidRPr="00000000" w14:paraId="00000013">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Deținerea de către toți angajatorii a Fișelor cu date de securitate actualizate pentru toți agenții chimici periculoși prezenți la locurile de muncă (inclusiv carburanți auto) și punerea la dispoziția lucrătorilor.</w:t>
      </w:r>
    </w:p>
    <w:p w:rsidR="00000000" w:rsidDel="00000000" w:rsidP="00000000" w:rsidRDefault="00000000" w:rsidRPr="00000000" w14:paraId="00000014">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 acest sens, acțiunile de control se desfășoară în trimestrele II și III ale anului curent, în toate județele, în toate tipurile de întreprinderi (mici, mijlocii și mari, cu capital de stat, privat și mixt), la angajatori din următoarele domenii de activitate:</w:t>
      </w:r>
    </w:p>
    <w:p w:rsidR="00000000" w:rsidDel="00000000" w:rsidP="00000000" w:rsidRDefault="00000000" w:rsidRPr="00000000" w14:paraId="00000015">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- 1920 – fabricarea produselor obținute din prelucrarea țițeiului,</w:t>
      </w:r>
    </w:p>
    <w:p w:rsidR="00000000" w:rsidDel="00000000" w:rsidP="00000000" w:rsidRDefault="00000000" w:rsidRPr="00000000" w14:paraId="00000016">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- 5210 – depozitări,</w:t>
      </w:r>
    </w:p>
    <w:p w:rsidR="00000000" w:rsidDel="00000000" w:rsidP="00000000" w:rsidRDefault="00000000" w:rsidRPr="00000000" w14:paraId="00000017">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- 4671 – comerț cu ridicata al combustibililor solizi, lichizi și gazoși și al produselor derivate,</w:t>
      </w:r>
    </w:p>
    <w:p w:rsidR="00000000" w:rsidDel="00000000" w:rsidP="00000000" w:rsidRDefault="00000000" w:rsidRPr="00000000" w14:paraId="00000018">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- 4730 – comerț cu amănuntul al carburanților auto pentru autovehicule în magazine specializate.</w:t>
      </w:r>
    </w:p>
    <w:p w:rsidR="00000000" w:rsidDel="00000000" w:rsidP="00000000" w:rsidRDefault="00000000" w:rsidRPr="00000000" w14:paraId="00000019">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Rezultatele acțiunii vor constitui baza demersurilor viitoare pentru protecția lucrătorilor, contribuind la stabilirea măsurilor necesare pentru promovarea îmbunătățirii securității și sănătății lucrătorilor.</w:t>
      </w:r>
    </w:p>
    <w:p w:rsidR="00000000" w:rsidDel="00000000" w:rsidP="00000000" w:rsidRDefault="00000000" w:rsidRPr="00000000" w14:paraId="0000001A">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B">
      <w:pPr>
        <w:spacing w:after="30" w:lineRule="auto"/>
        <w:ind w:firstLine="708"/>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Bogdan - Marius TRANDAFIR</w:t>
      </w:r>
    </w:p>
    <w:p w:rsidR="00000000" w:rsidDel="00000000" w:rsidP="00000000" w:rsidRDefault="00000000" w:rsidRPr="00000000" w14:paraId="0000001C">
      <w:pPr>
        <w:spacing w:after="30" w:lineRule="auto"/>
        <w:ind w:firstLine="708"/>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D">
      <w:pPr>
        <w:spacing w:after="30" w:lineRule="auto"/>
        <w:ind w:firstLine="708"/>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Inspector Șef</w:t>
      </w:r>
    </w:p>
    <w:p w:rsidR="00000000" w:rsidDel="00000000" w:rsidP="00000000" w:rsidRDefault="00000000" w:rsidRPr="00000000" w14:paraId="0000001E">
      <w:pPr>
        <w:spacing w:after="30" w:lineRule="auto"/>
        <w:ind w:left="900" w:firstLine="0"/>
        <w:jc w:val="righ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F">
      <w:pPr>
        <w:spacing w:after="30" w:lineRule="auto"/>
        <w:ind w:left="900" w:firstLine="0"/>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Carmen Păunica Corodeanu</w:t>
      </w:r>
    </w:p>
    <w:p w:rsidR="00000000" w:rsidDel="00000000" w:rsidP="00000000" w:rsidRDefault="00000000" w:rsidRPr="00000000" w14:paraId="00000020">
      <w:pPr>
        <w:spacing w:after="30" w:lineRule="auto"/>
        <w:ind w:left="900" w:firstLine="0"/>
        <w:jc w:val="righ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1">
      <w:pPr>
        <w:spacing w:after="30" w:lineRule="auto"/>
        <w:ind w:left="900" w:firstLine="0"/>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Inspector,</w:t>
      </w:r>
    </w:p>
    <w:p w:rsidR="00000000" w:rsidDel="00000000" w:rsidP="00000000" w:rsidRDefault="00000000" w:rsidRPr="00000000" w14:paraId="00000022">
      <w:pPr>
        <w:spacing w:after="30" w:lineRule="auto"/>
        <w:ind w:left="900" w:firstLine="0"/>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Compartiment Comunicare și Relații cu Publicul</w:t>
      </w:r>
    </w:p>
    <w:sectPr>
      <w:headerReference r:id="rId6" w:type="default"/>
      <w:headerReference r:id="rId7" w:type="first"/>
      <w:footerReference r:id="rId8" w:type="default"/>
      <w:footerReference r:id="rId9" w:type="first"/>
      <w:pgSz w:h="16838" w:w="11906" w:orient="portrait"/>
      <w:pgMar w:bottom="1440" w:top="1440" w:left="900" w:right="746" w:header="708" w:footer="3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Quest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Questrial" w:cs="Questrial" w:eastAsia="Questrial" w:hAnsi="Quest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Str.Regiment 11 Siret, nr. 46 A, Galaţi, Galaţi</w:t>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Tel.: +4 0236 46 06 29, +4 0236 46 50 75, +4 0236 41 35 91, +4 0236 41 13 57, +4 0236 41 31 99; fax: +4 0236 46 06 29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Email: itmgalati@itmgalati.ro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1"/>
        <w:i w:val="0"/>
        <w:smallCaps w:val="0"/>
        <w:strike w:val="0"/>
        <w:color w:val="000000"/>
        <w:sz w:val="16"/>
        <w:szCs w:val="16"/>
        <w:u w:val="none"/>
        <w:shd w:fill="auto" w:val="clear"/>
        <w:vertAlign w:val="baseline"/>
      </w:rPr>
    </w:pPr>
    <w:hyperlink r:id="rId1">
      <w:r w:rsidDel="00000000" w:rsidR="00000000" w:rsidRPr="00000000">
        <w:rPr>
          <w:rFonts w:ascii="Calibri" w:cs="Calibri" w:eastAsia="Calibri" w:hAnsi="Calibri"/>
          <w:b w:val="1"/>
          <w:i w:val="0"/>
          <w:smallCaps w:val="0"/>
          <w:strike w:val="0"/>
          <w:color w:val="0563c1"/>
          <w:sz w:val="16"/>
          <w:szCs w:val="16"/>
          <w:u w:val="single"/>
          <w:shd w:fill="auto" w:val="clear"/>
          <w:vertAlign w:val="baseline"/>
          <w:rtl w:val="0"/>
        </w:rPr>
        <w:t xml:space="preserve">www.itmgalati.ro</w:t>
      </w:r>
    </w:hyperlink>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Conform prevederilor Regulamentului (UE) 2016/679 al Parlamentului European și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Str.Regiment 11 Siret, nr. 46 A, Galaţi, Galaţi</w:t>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Tel.: +4 0236 46 06 29, +4 0236 46 50 75, +4 0236 41 35 91, +4 0236 41 13 57, +4 0236 41 31 99; fax: +4 0236 46 06 29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Email: itmgalati@itmgalati.ro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1"/>
        <w:i w:val="0"/>
        <w:smallCaps w:val="0"/>
        <w:strike w:val="0"/>
        <w:color w:val="000000"/>
        <w:sz w:val="16"/>
        <w:szCs w:val="16"/>
        <w:u w:val="none"/>
        <w:shd w:fill="auto" w:val="clear"/>
        <w:vertAlign w:val="baseline"/>
      </w:rPr>
    </w:pPr>
    <w:hyperlink r:id="rId1">
      <w:r w:rsidDel="00000000" w:rsidR="00000000" w:rsidRPr="00000000">
        <w:rPr>
          <w:rFonts w:ascii="Trebuchet MS" w:cs="Trebuchet MS" w:eastAsia="Trebuchet MS" w:hAnsi="Trebuchet MS"/>
          <w:b w:val="1"/>
          <w:i w:val="0"/>
          <w:smallCaps w:val="0"/>
          <w:strike w:val="0"/>
          <w:color w:val="0563c1"/>
          <w:sz w:val="16"/>
          <w:szCs w:val="16"/>
          <w:u w:val="single"/>
          <w:shd w:fill="auto" w:val="clear"/>
          <w:vertAlign w:val="baseline"/>
          <w:rtl w:val="0"/>
        </w:rPr>
        <w:t xml:space="preserve">www.itmgalati.ro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drawing>
        <wp:inline distB="0" distT="0" distL="0" distR="0">
          <wp:extent cx="809625" cy="790575"/>
          <wp:effectExtent b="0" l="0" r="0" t="0"/>
          <wp:docPr descr="Untitled" id="3" name="image3.png"/>
          <a:graphic>
            <a:graphicData uri="http://schemas.openxmlformats.org/drawingml/2006/picture">
              <pic:pic>
                <pic:nvPicPr>
                  <pic:cNvPr descr="Untitled" id="0" name="image3.png"/>
                  <pic:cNvPicPr preferRelativeResize="0"/>
                </pic:nvPicPr>
                <pic:blipFill>
                  <a:blip r:embed="rId1"/>
                  <a:srcRect b="0" l="0" r="0" t="0"/>
                  <a:stretch>
                    <a:fillRect/>
                  </a:stretch>
                </pic:blipFill>
                <pic:spPr>
                  <a:xfrm>
                    <a:off x="0" y="0"/>
                    <a:ext cx="809625" cy="79057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3467735" cy="732790"/>
              <wp:effectExtent b="0" l="0" r="0" t="0"/>
              <wp:wrapNone/>
              <wp:docPr id="2" name=""/>
              <a:graphic>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extLst>
                    </wps:spPr>
                    <wps:txbx>
                      <w:txbxContent>
                        <w:p w:rsidR="00AD4CA8" w:rsidDel="00000000" w:rsidP="0093316D" w:rsidRDefault="00AD4CA8" w:rsidRPr="0093316D" w14:paraId="5E11D701" w14:textId="77777777">
                          <w:pPr>
                            <w:rPr>
                              <w:rFonts w:ascii="Trebuchet MS" w:hAnsi="Trebuchet MS"/>
                              <w:smallCaps w:val="1"/>
                              <w:sz w:val="28"/>
                              <w:szCs w:val="28"/>
                            </w:rPr>
                          </w:pPr>
                          <w:r w:rsidDel="00000000" w:rsidR="00000000" w:rsidRPr="0093316D">
                            <w:rPr>
                              <w:rFonts w:ascii="Trebuchet MS" w:hAnsi="Trebuchet MS"/>
                              <w:smallCaps w:val="1"/>
                              <w:sz w:val="28"/>
                              <w:szCs w:val="28"/>
                            </w:rPr>
                            <w:t xml:space="preserve">INSPECŢIA MUNCII </w:t>
                          </w:r>
                        </w:p>
                        <w:p w:rsidR="00AD4CA8" w:rsidDel="00000000" w:rsidP="0093316D" w:rsidRDefault="00AD4CA8" w:rsidRPr="0093316D" w14:paraId="6D7228FD" w14:textId="77777777">
                          <w:pPr>
                            <w:rPr>
                              <w:rFonts w:ascii="Trebuchet MS" w:hAnsi="Trebuchet MS"/>
                              <w:smallCaps w:val="1"/>
                              <w:sz w:val="24"/>
                              <w:szCs w:val="24"/>
                            </w:rPr>
                          </w:pPr>
                          <w:r w:rsidDel="00000000" w:rsidR="00000000" w:rsidRPr="0093316D">
                            <w:rPr>
                              <w:rFonts w:ascii="Trebuchet MS" w:hAnsi="Trebuchet MS"/>
                              <w:smallCaps w:val="1"/>
                              <w:sz w:val="24"/>
                              <w:szCs w:val="24"/>
                            </w:rPr>
                            <w:t>INSPECTORATUL TERITORIAL DE MUNCĂ GALAŢI</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3467735" cy="73279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467735" cy="73279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3467735" cy="685800"/>
              <wp:effectExtent b="0" l="0" r="0" t="0"/>
              <wp:wrapNone/>
              <wp:docPr id="1" name=""/>
              <a:graphic>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extLst>
                    </wps:spPr>
                    <wps:txbx>
                      <w:txbxContent>
                        <w:p w:rsidR="00AD4CA8" w:rsidDel="00000000" w:rsidP="0093316D" w:rsidRDefault="00AD4CA8" w:rsidRPr="0093316D" w14:paraId="503A1678" w14:textId="77777777">
                          <w:pPr>
                            <w:rPr>
                              <w:rFonts w:ascii="Trebuchet MS" w:hAnsi="Trebuchet MS"/>
                              <w:smallCaps w:val="1"/>
                              <w:sz w:val="28"/>
                              <w:szCs w:val="28"/>
                            </w:rPr>
                          </w:pPr>
                          <w:r w:rsidDel="00000000" w:rsidR="00000000" w:rsidRPr="0093316D">
                            <w:rPr>
                              <w:rFonts w:ascii="Trebuchet MS" w:hAnsi="Trebuchet MS"/>
                              <w:smallCaps w:val="1"/>
                              <w:sz w:val="28"/>
                              <w:szCs w:val="28"/>
                            </w:rPr>
                            <w:t xml:space="preserve">INSPECŢIA MUNCII </w:t>
                          </w:r>
                        </w:p>
                        <w:p w:rsidR="00AD4CA8" w:rsidDel="00000000" w:rsidP="0093316D" w:rsidRDefault="00AD4CA8" w:rsidRPr="0093316D" w14:paraId="5F7CC92A" w14:textId="77777777">
                          <w:pPr>
                            <w:rPr>
                              <w:rFonts w:ascii="Trebuchet MS" w:hAnsi="Trebuchet MS"/>
                              <w:smallCaps w:val="1"/>
                              <w:sz w:val="24"/>
                              <w:szCs w:val="24"/>
                            </w:rPr>
                          </w:pPr>
                          <w:r w:rsidDel="00000000" w:rsidR="00000000" w:rsidRPr="0093316D">
                            <w:rPr>
                              <w:rFonts w:ascii="Trebuchet MS" w:hAnsi="Trebuchet MS"/>
                              <w:smallCaps w:val="1"/>
                              <w:sz w:val="24"/>
                              <w:szCs w:val="24"/>
                            </w:rPr>
                            <w:t>INSPECTORATUL TERITORIAL DE MUNCĂ GALAŢI</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3467735" cy="6858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735" cy="68580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