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8"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02">
      <w:pPr>
        <w:ind w:left="720" w:firstLine="0"/>
        <w:rPr>
          <w:vertAlign w:val="baseline"/>
        </w:rPr>
      </w:pPr>
      <w:r w:rsidDel="00000000" w:rsidR="00000000" w:rsidRPr="00000000">
        <w:rPr>
          <w:rtl w:val="0"/>
        </w:rPr>
        <w:t xml:space="preserve">12</w:t>
      </w:r>
      <w:r w:rsidDel="00000000" w:rsidR="00000000" w:rsidRPr="00000000">
        <w:rPr>
          <w:vertAlign w:val="baseline"/>
          <w:rtl w:val="0"/>
        </w:rPr>
        <w:t xml:space="preserve">.07.202</w:t>
      </w:r>
      <w:r w:rsidDel="00000000" w:rsidR="00000000" w:rsidRPr="00000000">
        <w:rPr>
          <w:rtl w:val="0"/>
        </w:rPr>
        <w:t xml:space="preserve">4</w:t>
      </w:r>
      <w:r w:rsidDel="00000000" w:rsidR="00000000" w:rsidRPr="00000000">
        <w:rPr>
          <w:rtl w:val="0"/>
        </w:rPr>
      </w:r>
    </w:p>
    <w:p w:rsidR="00000000" w:rsidDel="00000000" w:rsidP="00000000" w:rsidRDefault="00000000" w:rsidRPr="00000000" w14:paraId="00000003">
      <w:pPr>
        <w:ind w:left="720" w:firstLine="0"/>
        <w:rPr>
          <w:vertAlign w:val="baseline"/>
        </w:rPr>
      </w:pPr>
      <w:r w:rsidDel="00000000" w:rsidR="00000000" w:rsidRPr="00000000">
        <w:rPr>
          <w:rtl w:val="0"/>
        </w:rPr>
      </w:r>
    </w:p>
    <w:p w:rsidR="00000000" w:rsidDel="00000000" w:rsidP="00000000" w:rsidRDefault="00000000" w:rsidRPr="00000000" w14:paraId="00000004">
      <w:pPr>
        <w:ind w:left="720" w:firstLine="0"/>
        <w:jc w:val="center"/>
        <w:rPr>
          <w:rFonts w:ascii="Trebuchet MS" w:cs="Trebuchet MS" w:eastAsia="Trebuchet MS" w:hAnsi="Trebuchet MS"/>
          <w:b w:val="0"/>
          <w:sz w:val="24"/>
          <w:szCs w:val="24"/>
          <w:vertAlign w:val="baseline"/>
        </w:rPr>
      </w:pPr>
      <w:r w:rsidDel="00000000" w:rsidR="00000000" w:rsidRPr="00000000">
        <w:rPr>
          <w:rFonts w:ascii="Trebuchet MS" w:cs="Trebuchet MS" w:eastAsia="Trebuchet MS" w:hAnsi="Trebuchet MS"/>
          <w:b w:val="1"/>
          <w:sz w:val="24"/>
          <w:szCs w:val="24"/>
          <w:vertAlign w:val="baseline"/>
          <w:rtl w:val="0"/>
        </w:rPr>
        <w:t xml:space="preserve">Măsurile ce trebuie aplicate de către angajatori în perioadele cu temperaturi extreme ridicate</w:t>
      </w:r>
      <w:r w:rsidDel="00000000" w:rsidR="00000000" w:rsidRPr="00000000">
        <w:rPr>
          <w:rtl w:val="0"/>
        </w:rPr>
      </w:r>
    </w:p>
    <w:p w:rsidR="00000000" w:rsidDel="00000000" w:rsidP="00000000" w:rsidRDefault="00000000" w:rsidRPr="00000000" w14:paraId="00000005">
      <w:pPr>
        <w:ind w:left="720" w:firstLine="0"/>
        <w:rPr>
          <w:rFonts w:ascii="Trebuchet MS" w:cs="Trebuchet MS" w:eastAsia="Trebuchet MS" w:hAnsi="Trebuchet MS"/>
          <w:b w:val="0"/>
          <w:sz w:val="24"/>
          <w:szCs w:val="24"/>
          <w:vertAlign w:val="baseline"/>
        </w:rPr>
      </w:pPr>
      <w:r w:rsidDel="00000000" w:rsidR="00000000" w:rsidRPr="00000000">
        <w:rPr>
          <w:rtl w:val="0"/>
        </w:rPr>
      </w:r>
    </w:p>
    <w:p w:rsidR="00000000" w:rsidDel="00000000" w:rsidP="00000000" w:rsidRDefault="00000000" w:rsidRPr="00000000" w14:paraId="00000006">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Inspectoratul Teritorial de Muncă Galaţi efectuează verificări la angajatori privind măsurile aplicate de către aceştia în perioadele cu temperaturi extreme ridicate pentru protecţia persoanelor încadrate în muncă, conform O.U.G. nr. 99/2000.</w:t>
      </w:r>
    </w:p>
    <w:p w:rsidR="00000000" w:rsidDel="00000000" w:rsidP="00000000" w:rsidRDefault="00000000" w:rsidRPr="00000000" w14:paraId="00000007">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În sensul Ordonanţei de Urgenţă nr. 99/2000  - </w:t>
      </w:r>
      <w:r w:rsidDel="00000000" w:rsidR="00000000" w:rsidRPr="00000000">
        <w:rPr>
          <w:rFonts w:ascii="Trebuchet MS" w:cs="Trebuchet MS" w:eastAsia="Trebuchet MS" w:hAnsi="Trebuchet MS"/>
          <w:i w:val="1"/>
          <w:vertAlign w:val="baseline"/>
          <w:rtl w:val="0"/>
        </w:rPr>
        <w:t xml:space="preserve">privind măsurile ce pot fi aplicate în perioadele cu temperaturi extreme pentru protecţia persoanelor încadrate în muncă</w:t>
      </w:r>
      <w:r w:rsidDel="00000000" w:rsidR="00000000" w:rsidRPr="00000000">
        <w:rPr>
          <w:rFonts w:ascii="Trebuchet MS" w:cs="Trebuchet MS" w:eastAsia="Trebuchet MS" w:hAnsi="Trebuchet MS"/>
          <w:vertAlign w:val="baseline"/>
          <w:rtl w:val="0"/>
        </w:rPr>
        <w:t xml:space="preserve"> și a normelor metodologice de aplicare a acesteia, prin temperaturi extreme ridicate se înţeleg temperaturile care depăşesc +37°C sau când indicele temperatură-umiditate depășește pragul valoric de 80.</w:t>
      </w:r>
    </w:p>
    <w:p w:rsidR="00000000" w:rsidDel="00000000" w:rsidP="00000000" w:rsidRDefault="00000000" w:rsidRPr="00000000" w14:paraId="00000008">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În perioadele cu temperaturi extreme ridicate angajatorii trebuie să asigure următoarele </w:t>
      </w:r>
      <w:r w:rsidDel="00000000" w:rsidR="00000000" w:rsidRPr="00000000">
        <w:rPr>
          <w:rFonts w:ascii="Trebuchet MS" w:cs="Trebuchet MS" w:eastAsia="Trebuchet MS" w:hAnsi="Trebuchet MS"/>
          <w:i w:val="1"/>
          <w:u w:val="single"/>
          <w:vertAlign w:val="baseline"/>
          <w:rtl w:val="0"/>
        </w:rPr>
        <w:t xml:space="preserve">măsuri minimale</w:t>
      </w:r>
      <w:r w:rsidDel="00000000" w:rsidR="00000000" w:rsidRPr="00000000">
        <w:rPr>
          <w:rFonts w:ascii="Trebuchet MS" w:cs="Trebuchet MS" w:eastAsia="Trebuchet MS" w:hAnsi="Trebuchet MS"/>
          <w:vertAlign w:val="baseline"/>
          <w:rtl w:val="0"/>
        </w:rPr>
        <w:t xml:space="preserve"> pentru:</w:t>
      </w:r>
    </w:p>
    <w:p w:rsidR="00000000" w:rsidDel="00000000" w:rsidP="00000000" w:rsidRDefault="00000000" w:rsidRPr="00000000" w14:paraId="00000009">
      <w:pPr>
        <w:spacing w:after="30" w:lineRule="auto"/>
        <w:ind w:left="720" w:firstLine="0"/>
        <w:jc w:val="both"/>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a. menţinerea stării de sănătate a salariaţilor care lucrează în aer liber:</w:t>
      </w:r>
      <w:r w:rsidDel="00000000" w:rsidR="00000000" w:rsidRPr="00000000">
        <w:rPr>
          <w:rtl w:val="0"/>
        </w:rPr>
      </w:r>
    </w:p>
    <w:p w:rsidR="00000000" w:rsidDel="00000000" w:rsidP="00000000" w:rsidRDefault="00000000" w:rsidRPr="00000000" w14:paraId="0000000A">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distribuirea apei minerale adecvate, câte 2-4 litri/persoana/schimb;</w:t>
      </w:r>
    </w:p>
    <w:p w:rsidR="00000000" w:rsidDel="00000000" w:rsidP="00000000" w:rsidRDefault="00000000" w:rsidRPr="00000000" w14:paraId="0000000B">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asigurarea de duşuri;</w:t>
      </w:r>
    </w:p>
    <w:p w:rsidR="00000000" w:rsidDel="00000000" w:rsidP="00000000" w:rsidRDefault="00000000" w:rsidRPr="00000000" w14:paraId="0000000C">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asigurarea echipamentului individual de protecţie.</w:t>
      </w:r>
    </w:p>
    <w:p w:rsidR="00000000" w:rsidDel="00000000" w:rsidP="00000000" w:rsidRDefault="00000000" w:rsidRPr="00000000" w14:paraId="0000000D">
      <w:pPr>
        <w:spacing w:after="30" w:lineRule="auto"/>
        <w:ind w:left="720" w:firstLine="0"/>
        <w:jc w:val="both"/>
        <w:rPr>
          <w:rFonts w:ascii="Trebuchet MS" w:cs="Trebuchet MS" w:eastAsia="Trebuchet MS" w:hAnsi="Trebuchet MS"/>
          <w:i w:val="0"/>
          <w:vertAlign w:val="baseline"/>
        </w:rPr>
      </w:pPr>
      <w:r w:rsidDel="00000000" w:rsidR="00000000" w:rsidRPr="00000000">
        <w:rPr>
          <w:rFonts w:ascii="Trebuchet MS" w:cs="Trebuchet MS" w:eastAsia="Trebuchet MS" w:hAnsi="Trebuchet MS"/>
          <w:i w:val="1"/>
          <w:vertAlign w:val="baseline"/>
          <w:rtl w:val="0"/>
        </w:rPr>
        <w:t xml:space="preserve">b. ameliorarea condiţiilor de muncă</w:t>
      </w:r>
      <w:r w:rsidDel="00000000" w:rsidR="00000000" w:rsidRPr="00000000">
        <w:rPr>
          <w:rtl w:val="0"/>
        </w:rPr>
      </w:r>
    </w:p>
    <w:p w:rsidR="00000000" w:rsidDel="00000000" w:rsidP="00000000" w:rsidRDefault="00000000" w:rsidRPr="00000000" w14:paraId="0000000E">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reducerea intensităţii şi ritmului activităţilor fizice;</w:t>
      </w:r>
    </w:p>
    <w:p w:rsidR="00000000" w:rsidDel="00000000" w:rsidP="00000000" w:rsidRDefault="00000000" w:rsidRPr="00000000" w14:paraId="0000000F">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asigurarea ventilaţiei la locurile de muncă;</w:t>
      </w:r>
    </w:p>
    <w:p w:rsidR="00000000" w:rsidDel="00000000" w:rsidP="00000000" w:rsidRDefault="00000000" w:rsidRPr="00000000" w14:paraId="00000010">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alternarea efortului dinamic cu cel static;</w:t>
      </w:r>
    </w:p>
    <w:p w:rsidR="00000000" w:rsidDel="00000000" w:rsidP="00000000" w:rsidRDefault="00000000" w:rsidRPr="00000000" w14:paraId="00000011">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alternarea perioadelor de lucru cu perioadele de repaus in locuri umbrite, cu curenţi de aer.</w:t>
      </w:r>
    </w:p>
    <w:p w:rsidR="00000000" w:rsidDel="00000000" w:rsidP="00000000" w:rsidRDefault="00000000" w:rsidRPr="00000000" w14:paraId="00000012">
      <w:pPr>
        <w:spacing w:after="30" w:lineRule="auto"/>
        <w:ind w:left="72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3">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Angajatorii care nu pot asigura condiţiile mai sus menţionate vor lua, de comun acord cu reprezentanţii sindicatelor sau cu reprezentanţii aleşi ai salariaţilor, după caz, următoarele măsuri:</w:t>
      </w:r>
    </w:p>
    <w:p w:rsidR="00000000" w:rsidDel="00000000" w:rsidP="00000000" w:rsidRDefault="00000000" w:rsidRPr="00000000" w14:paraId="00000014">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reducerea duratei zilei de lucru;</w:t>
      </w:r>
    </w:p>
    <w:p w:rsidR="00000000" w:rsidDel="00000000" w:rsidP="00000000" w:rsidRDefault="00000000" w:rsidRPr="00000000" w14:paraId="00000015">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eşalonarea pe două perioade a zilei de lucru: până la ora 11</w:t>
      </w:r>
      <w:r w:rsidDel="00000000" w:rsidR="00000000" w:rsidRPr="00000000">
        <w:rPr>
          <w:rFonts w:ascii="Trebuchet MS" w:cs="Trebuchet MS" w:eastAsia="Trebuchet MS" w:hAnsi="Trebuchet MS"/>
          <w:vertAlign w:val="superscript"/>
          <w:rtl w:val="0"/>
        </w:rPr>
        <w:t xml:space="preserve">00</w:t>
      </w:r>
      <w:r w:rsidDel="00000000" w:rsidR="00000000" w:rsidRPr="00000000">
        <w:rPr>
          <w:rFonts w:ascii="Trebuchet MS" w:cs="Trebuchet MS" w:eastAsia="Trebuchet MS" w:hAnsi="Trebuchet MS"/>
          <w:vertAlign w:val="baseline"/>
          <w:rtl w:val="0"/>
        </w:rPr>
        <w:t xml:space="preserve"> şi după ora 17</w:t>
      </w:r>
      <w:r w:rsidDel="00000000" w:rsidR="00000000" w:rsidRPr="00000000">
        <w:rPr>
          <w:rFonts w:ascii="Trebuchet MS" w:cs="Trebuchet MS" w:eastAsia="Trebuchet MS" w:hAnsi="Trebuchet MS"/>
          <w:vertAlign w:val="superscript"/>
          <w:rtl w:val="0"/>
        </w:rPr>
        <w:t xml:space="preserve">00</w:t>
      </w:r>
      <w:r w:rsidDel="00000000" w:rsidR="00000000" w:rsidRPr="00000000">
        <w:rPr>
          <w:rFonts w:ascii="Trebuchet MS" w:cs="Trebuchet MS" w:eastAsia="Trebuchet MS" w:hAnsi="Trebuchet MS"/>
          <w:vertAlign w:val="baseline"/>
          <w:rtl w:val="0"/>
        </w:rPr>
        <w:t xml:space="preserve">;</w:t>
      </w:r>
    </w:p>
    <w:p w:rsidR="00000000" w:rsidDel="00000000" w:rsidP="00000000" w:rsidRDefault="00000000" w:rsidRPr="00000000" w14:paraId="00000016">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 întreruperea colectivă a lucrului cu asigurarea continuităţii activităţii în locurile în care aceasta nu poate fi întreruptă, potrivit prevederilor legale.</w:t>
      </w:r>
    </w:p>
    <w:p w:rsidR="00000000" w:rsidDel="00000000" w:rsidP="00000000" w:rsidRDefault="00000000" w:rsidRPr="00000000" w14:paraId="00000017">
      <w:pPr>
        <w:spacing w:after="30" w:lineRule="auto"/>
        <w:ind w:left="72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8">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Pentru prevenirea unor îmbolnăviri profesionale determinate de lucrul în condiţii de temperaturi extreme, angajatorul trebuie să ia următoarele măsuri: </w:t>
      </w:r>
    </w:p>
    <w:p w:rsidR="00000000" w:rsidDel="00000000" w:rsidP="00000000" w:rsidRDefault="00000000" w:rsidRPr="00000000" w14:paraId="00000019">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tab/>
        <w:t xml:space="preserve">să asigure examenul medical la angajare şi controlul medical periodic,</w:t>
      </w:r>
    </w:p>
    <w:p w:rsidR="00000000" w:rsidDel="00000000" w:rsidP="00000000" w:rsidRDefault="00000000" w:rsidRPr="00000000" w14:paraId="0000001A">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tab/>
        <w:t xml:space="preserve">să urmărească depistarea precoce a salariaţilor cu contraindicaţii pentru munca la temperaturi extreme, </w:t>
      </w:r>
    </w:p>
    <w:p w:rsidR="00000000" w:rsidDel="00000000" w:rsidP="00000000" w:rsidRDefault="00000000" w:rsidRPr="00000000" w14:paraId="0000001B">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tab/>
        <w:t xml:space="preserve">să asigure primul ajutor şi transportul la cea mai apropiată unitate sanitară a persoanelor afectate, </w:t>
      </w:r>
    </w:p>
    <w:p w:rsidR="00000000" w:rsidDel="00000000" w:rsidP="00000000" w:rsidRDefault="00000000" w:rsidRPr="00000000" w14:paraId="0000001C">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w:t>
        <w:tab/>
        <w:t xml:space="preserve">trecerea, după posibilităţi, în alte locuri de muncă sau reducerea programului de muncă pentru persoanele cu afecţiuni, care au contraindicaţii privind munca la temperaturi extreme.</w:t>
      </w:r>
    </w:p>
    <w:p w:rsidR="00000000" w:rsidDel="00000000" w:rsidP="00000000" w:rsidRDefault="00000000" w:rsidRPr="00000000" w14:paraId="0000001D">
      <w:pPr>
        <w:spacing w:after="30" w:lineRule="auto"/>
        <w:ind w:left="72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1E">
      <w:pPr>
        <w:spacing w:after="30" w:lineRule="auto"/>
        <w:ind w:left="720" w:firstLine="0"/>
        <w:jc w:val="both"/>
        <w:rPr>
          <w:rFonts w:ascii="Trebuchet MS" w:cs="Trebuchet MS" w:eastAsia="Trebuchet MS" w:hAnsi="Trebuchet MS"/>
          <w:vertAlign w:val="baseline"/>
        </w:rPr>
      </w:pPr>
      <w:r w:rsidDel="00000000" w:rsidR="00000000" w:rsidRPr="00000000">
        <w:rPr>
          <w:rFonts w:ascii="Trebuchet MS" w:cs="Trebuchet MS" w:eastAsia="Trebuchet MS" w:hAnsi="Trebuchet MS"/>
          <w:vertAlign w:val="baseline"/>
          <w:rtl w:val="0"/>
        </w:rPr>
        <w:t xml:space="preserve">Nerespectarea prevederilor Ordonanţei 99/2000 privind măsurile ce pot fi aplicate în perioadele cu temperaturi extreme pentru protecţia persoanelor încadrate în muncă se sancţionează cu amenda de la 1500 -2500 lei. </w:t>
      </w:r>
    </w:p>
    <w:p w:rsidR="00000000" w:rsidDel="00000000" w:rsidP="00000000" w:rsidRDefault="00000000" w:rsidRPr="00000000" w14:paraId="0000001F">
      <w:pPr>
        <w:ind w:left="720" w:firstLine="0"/>
        <w:jc w:val="both"/>
        <w:rPr>
          <w:rFonts w:ascii="Trebuchet MS" w:cs="Trebuchet MS" w:eastAsia="Trebuchet MS" w:hAnsi="Trebuchet MS"/>
          <w:vertAlign w:val="baseline"/>
        </w:rPr>
      </w:pPr>
      <w:r w:rsidDel="00000000" w:rsidR="00000000" w:rsidRPr="00000000">
        <w:rPr>
          <w:rtl w:val="0"/>
        </w:rPr>
      </w:r>
    </w:p>
    <w:p w:rsidR="00000000" w:rsidDel="00000000" w:rsidP="00000000" w:rsidRDefault="00000000" w:rsidRPr="00000000" w14:paraId="00000020">
      <w:pPr>
        <w:ind w:left="720" w:firstLine="0"/>
        <w:jc w:val="center"/>
        <w:rPr>
          <w:rFonts w:ascii="Trebuchet MS" w:cs="Trebuchet MS" w:eastAsia="Trebuchet MS" w:hAnsi="Trebuchet MS"/>
          <w:b w:val="0"/>
          <w:vertAlign w:val="baseline"/>
        </w:rPr>
      </w:pPr>
      <w:r w:rsidDel="00000000" w:rsidR="00000000" w:rsidRPr="00000000">
        <w:rPr>
          <w:rFonts w:ascii="Trebuchet MS" w:cs="Trebuchet MS" w:eastAsia="Trebuchet MS" w:hAnsi="Trebuchet MS"/>
          <w:b w:val="1"/>
          <w:vertAlign w:val="baseline"/>
          <w:rtl w:val="0"/>
        </w:rPr>
        <w:t xml:space="preserve">Inspectoratul Teritorial de Muncă Galați</w:t>
      </w:r>
      <w:r w:rsidDel="00000000" w:rsidR="00000000" w:rsidRPr="00000000">
        <w:rPr>
          <w:rtl w:val="0"/>
        </w:rPr>
      </w:r>
    </w:p>
    <w:sectPr>
      <w:headerReference r:id="rId6" w:type="default"/>
      <w:headerReference r:id="rId7" w:type="first"/>
      <w:footerReference r:id="rId8" w:type="default"/>
      <w:footerReference r:id="rId9" w:type="first"/>
      <w:pgSz w:h="16838" w:w="11906" w:orient="portrait"/>
      <w:pgMar w:bottom="1440" w:top="1440" w:left="900" w:right="746" w:header="708" w:footer="30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rebuchet MS"/>
  <w:font w:name="Quest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Questrial" w:cs="Questrial" w:eastAsia="Questrial" w:hAnsi="Questrial"/>
        <w:b w:val="0"/>
        <w:i w:val="0"/>
        <w:smallCaps w:val="0"/>
        <w:strike w:val="0"/>
        <w:color w:val="000000"/>
        <w:sz w:val="16"/>
        <w:szCs w:val="16"/>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hyperlink r:id="rId1">
      <w:r w:rsidDel="00000000" w:rsidR="00000000" w:rsidRPr="00000000">
        <w:rPr>
          <w:rFonts w:ascii="Calibri" w:cs="Calibri" w:eastAsia="Calibri" w:hAnsi="Calibri"/>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1"/>
        <w:i w:val="0"/>
        <w:smallCaps w:val="0"/>
        <w:strike w:val="0"/>
        <w:color w:val="000000"/>
        <w:sz w:val="16"/>
        <w:szCs w:val="16"/>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38.00000000000001"/>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Str.Regiment 11 Siret, nr. 46 A, Galaţi, Galaţi</w:t>
      <w:tab/>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38.00000000000001"/>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Tel.: +4 0236 46 06 29, +4 0236 46 50 75, +4 0236 41 35 91, +4 0236 41 13 57, +4 0236 41 31 99; fax: +4 0236 46 06 29</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38.00000000000001"/>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Email: itmgalati@itmgalati.ro</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38.00000000000001"/>
      <w:jc w:val="left"/>
      <w:rPr>
        <w:rFonts w:ascii="Trebuchet MS" w:cs="Trebuchet MS" w:eastAsia="Trebuchet MS" w:hAnsi="Trebuchet MS"/>
        <w:b w:val="0"/>
        <w:i w:val="0"/>
        <w:smallCaps w:val="0"/>
        <w:strike w:val="0"/>
        <w:color w:val="000000"/>
        <w:sz w:val="16"/>
        <w:szCs w:val="16"/>
        <w:u w:val="none"/>
        <w:shd w:fill="auto" w:val="clear"/>
        <w:vertAlign w:val="baseline"/>
      </w:rPr>
    </w:pPr>
    <w:hyperlink r:id="rId1">
      <w:r w:rsidDel="00000000" w:rsidR="00000000" w:rsidRPr="00000000">
        <w:rPr>
          <w:rFonts w:ascii="Trebuchet MS" w:cs="Trebuchet MS" w:eastAsia="Trebuchet MS" w:hAnsi="Trebuchet MS"/>
          <w:b w:val="1"/>
          <w:i w:val="0"/>
          <w:smallCaps w:val="0"/>
          <w:strike w:val="0"/>
          <w:color w:val="0563c1"/>
          <w:sz w:val="16"/>
          <w:szCs w:val="16"/>
          <w:u w:val="single"/>
          <w:shd w:fill="auto" w:val="clear"/>
          <w:vertAlign w:val="baseline"/>
          <w:rtl w:val="0"/>
        </w:rPr>
        <w:t xml:space="preserve">www.itmgalati.ro</w:t>
      </w:r>
    </w:hyperlink>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 </w:t>
    </w:r>
    <w:hyperlink r:id="rId2">
      <w:r w:rsidDel="00000000" w:rsidR="00000000" w:rsidRPr="00000000">
        <w:rPr>
          <w:rFonts w:ascii="Trebuchet MS" w:cs="Trebuchet MS" w:eastAsia="Trebuchet MS" w:hAnsi="Trebuchet MS"/>
          <w:b w:val="1"/>
          <w:i w:val="0"/>
          <w:smallCaps w:val="0"/>
          <w:strike w:val="0"/>
          <w:color w:val="0563c1"/>
          <w:sz w:val="16"/>
          <w:szCs w:val="16"/>
          <w:u w:val="single"/>
          <w:shd w:fill="auto" w:val="clear"/>
          <w:vertAlign w:val="baseline"/>
          <w:rtl w:val="0"/>
        </w:rPr>
        <w:t xml:space="preserve">www.romania2019.eu</w:t>
      </w:r>
    </w:hyperlink>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Fonts w:ascii="Trebuchet MS" w:cs="Trebuchet MS" w:eastAsia="Trebuchet MS" w:hAnsi="Trebuchet MS"/>
        <w:b w:val="1"/>
        <w:i w:val="0"/>
        <w:smallCaps w:val="0"/>
        <w:strike w:val="0"/>
        <w:color w:val="000000"/>
        <w:sz w:val="16"/>
        <w:szCs w:val="1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 w:right="0" w:hanging="38.00000000000001"/>
      <w:jc w:val="left"/>
      <w:rPr>
        <w:rFonts w:ascii="Trebuchet MS" w:cs="Trebuchet MS" w:eastAsia="Trebuchet MS" w:hAnsi="Trebuchet MS"/>
        <w:b w:val="0"/>
        <w:i w:val="0"/>
        <w:smallCaps w:val="0"/>
        <w:strike w:val="0"/>
        <w:color w:val="000000"/>
        <w:sz w:val="16"/>
        <w:szCs w:val="16"/>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16"/>
        <w:szCs w:val="16"/>
        <w:u w:val="none"/>
        <w:shd w:fill="auto" w:val="clear"/>
        <w:vertAlign w:val="baseline"/>
        <w:rtl w:val="0"/>
      </w:rPr>
      <w:t xml:space="preserve">   Conform prevederilor Regulamentului (UE) 2016/679 al Parlamentului European şi al Consiliului din 27 aprilie 2016 privind protecţia persoanelor fizice în ceea ce priveşte prelucrarea datelor cu caracter personal şi privind libera circulaţie a acestor date şi de abrogare a Directivei 95/46/CE (Regulamentul general privind protecția datelor), informațiile referitoare la datele cu caracter personal cuprinse în acest document sunt confidențiale. Acestea sunt destinate exclusiv persoanei/persoanelor menționate ca destinatar/destinatari și altor persoane autorizate să-l primească. Dacă ați primit acest document în mod eronat, vă adresăm rugămintea de a returna documentul primit, expeditorului</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rebuchet MS" w:cs="Trebuchet MS" w:eastAsia="Trebuchet MS" w:hAnsi="Trebuchet MS"/>
        <w:b w:val="0"/>
        <w:i w:val="0"/>
        <w:smallCaps w:val="0"/>
        <w:strike w:val="0"/>
        <w:color w:val="000000"/>
        <w:sz w:val="22"/>
        <w:szCs w:val="22"/>
        <w:u w:val="none"/>
        <w:shd w:fill="auto" w:val="clear"/>
        <w:vertAlign w:val="baseline"/>
      </w:rPr>
      <w:drawing>
        <wp:inline distB="0" distT="0" distL="114300" distR="114300">
          <wp:extent cx="810895" cy="791845"/>
          <wp:effectExtent b="0" l="0" r="0" t="0"/>
          <wp:docPr descr="Untitled" id="3" name="image1.png"/>
          <a:graphic>
            <a:graphicData uri="http://schemas.openxmlformats.org/drawingml/2006/picture">
              <pic:pic>
                <pic:nvPicPr>
                  <pic:cNvPr descr="Untitled" id="0" name="image1.png"/>
                  <pic:cNvPicPr preferRelativeResize="0"/>
                </pic:nvPicPr>
                <pic:blipFill>
                  <a:blip r:embed="rId1"/>
                  <a:srcRect b="0" l="0" r="0" t="0"/>
                  <a:stretch>
                    <a:fillRect/>
                  </a:stretch>
                </pic:blipFill>
                <pic:spPr>
                  <a:xfrm>
                    <a:off x="0" y="0"/>
                    <a:ext cx="810895" cy="791845"/>
                  </a:xfrm>
                  <a:prstGeom prst="rect"/>
                  <a:ln/>
                </pic:spPr>
              </pic:pic>
            </a:graphicData>
          </a:graphic>
        </wp:inline>
      </w:drawing>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2138644" cy="456769"/>
              <wp:wrapNone/>
              <wp:docPr id="1" name=""/>
              <a:graphic>
                <a:graphicData uri="http://schemas.microsoft.com/office/word/2010/wordprocessingShape">
                  <wps:wsp>
                    <wps:cNvSpPr txBox="1">
                      <a:spLocks noChangeArrowheads="1"/>
                    </wps:cNvSpPr>
                    <wps:cNvPr id="2" name="Text Box 2"/>
                    <wps:spPr bwMode="auto">
                      <a:xfrm>
                        <a:off x="0" y="0"/>
                        <a:ext cx="2138644" cy="456769"/>
                      </a:xfrm>
                      <a:prstGeom prst="rect">
                        <a:avLst/>
                      </a:prstGeom>
                      <a:solidFill>
                        <a:srgbClr val="FFFFFF"/>
                      </a:solidFill>
                      <a:ln>
                        <a:noFill/>
                      </a:ln>
                      <a:extLst>
                        <a:ext uri="{91240B29-F687-4F45-9708-019B960494DF}"/>
                      </a:extLst>
                    </wps:spPr>
                    <wps:txbx>
                      <w:txbxContent>
                        <w:p w:rsidR="00000000" w:rsidDel="00000000" w:rsidP="0093316D" w:rsidRDefault="00000000" w:rsidRPr="00000000">
                          <w:pPr>
                            <w:pStyle w:val="Normal"/>
                            <w:suppressAutoHyphens w:val="1"/>
                            <w:spacing w:line="1" w:lineRule="atLeast"/>
                            <w:ind w:leftChars="-1" w:rightChars="0" w:firstLineChars="-1"/>
                            <w:textDirection w:val="btLr"/>
                            <w:textAlignment w:val="top"/>
                            <w:outlineLvl w:val="0"/>
                            <w:rPr>
                              <w:rFonts w:ascii="Trebuchet MS" w:hAnsi="Trebuchet MS"/>
                              <w:smallCaps w:val="0"/>
                              <w:w w:val="100"/>
                              <w:position w:val="-1"/>
                              <w:sz w:val="28"/>
                              <w:szCs w:val="28"/>
                              <w:effect w:val="none"/>
                              <w:vertAlign w:val="baseline"/>
                              <w:cs w:val="0"/>
                              <w:em w:val="none"/>
                              <w:lang/>
                            </w:rPr>
                          </w:pPr>
                          <w:r w:rsidDel="000000-1" w:rsidR="05725551" w:rsidRPr="09646445">
                            <w:rPr>
                              <w:rFonts w:ascii="Trebuchet MS" w:hAnsi="Trebuchet MS"/>
                              <w:smallCaps w:val="1"/>
                              <w:w w:val="100"/>
                              <w:position w:val="-1"/>
                              <w:sz w:val="28"/>
                              <w:szCs w:val="28"/>
                              <w:effect w:val="none"/>
                              <w:vertAlign w:val="baseline"/>
                              <w:cs w:val="0"/>
                              <w:em w:val="none"/>
                              <w:lang/>
                            </w:rPr>
                            <w:t xml:space="preserve">INSPECŢIA MUNCII </w:t>
                          </w:r>
                        </w:p>
                        <w:p w:rsidR="00000000" w:rsidDel="00000000" w:rsidP="0093316D" w:rsidRDefault="00000000" w:rsidRPr="00000000">
                          <w:pPr>
                            <w:pStyle w:val="Normal"/>
                            <w:suppressAutoHyphens w:val="1"/>
                            <w:spacing w:line="1" w:lineRule="atLeast"/>
                            <w:ind w:leftChars="-1" w:rightChars="0" w:firstLineChars="-1"/>
                            <w:textDirection w:val="btLr"/>
                            <w:textAlignment w:val="top"/>
                            <w:outlineLvl w:val="0"/>
                            <w:rPr>
                              <w:rFonts w:ascii="Trebuchet MS" w:hAnsi="Trebuchet MS"/>
                              <w:smallCaps w:val="0"/>
                              <w:w w:val="100"/>
                              <w:position w:val="-1"/>
                              <w:sz w:val="24"/>
                              <w:szCs w:val="24"/>
                              <w:effect w:val="none"/>
                              <w:vertAlign w:val="baseline"/>
                              <w:cs w:val="0"/>
                              <w:em w:val="none"/>
                              <w:lang/>
                            </w:rPr>
                          </w:pPr>
                          <w:r w:rsidDel="000000-1" w:rsidR="05725551" w:rsidRPr="09646445">
                            <w:rPr>
                              <w:rFonts w:ascii="Trebuchet MS" w:hAnsi="Trebuchet MS"/>
                              <w:smallCaps w:val="1"/>
                              <w:w w:val="100"/>
                              <w:position w:val="-1"/>
                              <w:sz w:val="24"/>
                              <w:szCs w:val="24"/>
                              <w:effect w:val="none"/>
                              <w:vertAlign w:val="baseline"/>
                              <w:cs w:val="0"/>
                              <w:em w:val="none"/>
                              <w:lang/>
                            </w:rPr>
                            <w:t>INSPECTORATUL TERITORIAL DE MUNCĂ GALAŢI</w:t>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591387" w:rsidRPr="000000-1">
                            <w:rPr>
                              <w:w w:val="100"/>
                              <w:position w:val="-1"/>
                              <w:effect w:val="none"/>
                              <w:vertAlign w:val="baseline"/>
                              <w:cs w:val="0"/>
                              <w:em w:val="none"/>
                              <w:lang/>
                            </w:rPr>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989964</wp:posOffset>
              </wp:positionH>
              <wp:positionV relativeFrom="paragraph">
                <wp:posOffset>74930</wp:posOffset>
              </wp:positionV>
              <wp:extent cx="2138644" cy="456769"/>
              <wp:effectExtent b="0" l="0" r="0" t="0"/>
              <wp:wrapNone/>
              <wp:docPr id="1"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2138644" cy="456769"/>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2138644" cy="456769"/>
              <wp:wrapNone/>
              <wp:docPr id="2" name=""/>
              <a:graphic>
                <a:graphicData uri="http://schemas.microsoft.com/office/word/2010/wordprocessingShape">
                  <wps:wsp>
                    <wps:cNvSpPr txBox="1">
                      <a:spLocks noChangeArrowheads="1"/>
                    </wps:cNvSpPr>
                    <wps:cNvPr id="2" name="Text Box 2"/>
                    <wps:spPr bwMode="auto">
                      <a:xfrm>
                        <a:off x="0" y="0"/>
                        <a:ext cx="2138644" cy="456769"/>
                      </a:xfrm>
                      <a:prstGeom prst="rect">
                        <a:avLst/>
                      </a:prstGeom>
                      <a:solidFill>
                        <a:srgbClr val="FFFFFF"/>
                      </a:solidFill>
                      <a:ln>
                        <a:noFill/>
                      </a:ln>
                      <a:extLst>
                        <a:ext uri="{91240B29-F687-4F45-9708-019B960494DF}"/>
                      </a:extLst>
                    </wps:spPr>
                    <wps:txbx>
                      <w:txbxContent>
                        <w:p w:rsidR="00000000" w:rsidDel="00000000" w:rsidP="0093316D" w:rsidRDefault="00000000" w:rsidRPr="00000000">
                          <w:pPr>
                            <w:pStyle w:val="Normal"/>
                            <w:suppressAutoHyphens w:val="1"/>
                            <w:spacing w:line="1" w:lineRule="atLeast"/>
                            <w:ind w:leftChars="-1" w:rightChars="0" w:firstLineChars="-1"/>
                            <w:textDirection w:val="btLr"/>
                            <w:textAlignment w:val="top"/>
                            <w:outlineLvl w:val="0"/>
                            <w:rPr>
                              <w:rFonts w:ascii="Trebuchet MS" w:hAnsi="Trebuchet MS"/>
                              <w:smallCaps w:val="0"/>
                              <w:w w:val="100"/>
                              <w:position w:val="-1"/>
                              <w:sz w:val="28"/>
                              <w:szCs w:val="28"/>
                              <w:effect w:val="none"/>
                              <w:vertAlign w:val="baseline"/>
                              <w:cs w:val="0"/>
                              <w:em w:val="none"/>
                              <w:lang/>
                            </w:rPr>
                          </w:pPr>
                          <w:r w:rsidDel="000000-1" w:rsidR="05725551" w:rsidRPr="09646445">
                            <w:rPr>
                              <w:rFonts w:ascii="Trebuchet MS" w:hAnsi="Trebuchet MS"/>
                              <w:smallCaps w:val="1"/>
                              <w:w w:val="100"/>
                              <w:position w:val="-1"/>
                              <w:sz w:val="28"/>
                              <w:szCs w:val="28"/>
                              <w:effect w:val="none"/>
                              <w:vertAlign w:val="baseline"/>
                              <w:cs w:val="0"/>
                              <w:em w:val="none"/>
                              <w:lang/>
                            </w:rPr>
                            <w:t xml:space="preserve">INSPECŢIA MUNCII </w:t>
                          </w:r>
                        </w:p>
                        <w:p w:rsidR="00000000" w:rsidDel="00000000" w:rsidP="0093316D" w:rsidRDefault="00000000" w:rsidRPr="00000000">
                          <w:pPr>
                            <w:pStyle w:val="Normal"/>
                            <w:suppressAutoHyphens w:val="1"/>
                            <w:spacing w:line="1" w:lineRule="atLeast"/>
                            <w:ind w:leftChars="-1" w:rightChars="0" w:firstLineChars="-1"/>
                            <w:textDirection w:val="btLr"/>
                            <w:textAlignment w:val="top"/>
                            <w:outlineLvl w:val="0"/>
                            <w:rPr>
                              <w:rFonts w:ascii="Trebuchet MS" w:hAnsi="Trebuchet MS"/>
                              <w:smallCaps w:val="0"/>
                              <w:w w:val="100"/>
                              <w:position w:val="-1"/>
                              <w:sz w:val="24"/>
                              <w:szCs w:val="24"/>
                              <w:effect w:val="none"/>
                              <w:vertAlign w:val="baseline"/>
                              <w:cs w:val="0"/>
                              <w:em w:val="none"/>
                              <w:lang/>
                            </w:rPr>
                          </w:pPr>
                          <w:r w:rsidDel="000000-1" w:rsidR="05725551" w:rsidRPr="09646445">
                            <w:rPr>
                              <w:rFonts w:ascii="Trebuchet MS" w:hAnsi="Trebuchet MS"/>
                              <w:smallCaps w:val="1"/>
                              <w:w w:val="100"/>
                              <w:position w:val="-1"/>
                              <w:sz w:val="24"/>
                              <w:szCs w:val="24"/>
                              <w:effect w:val="none"/>
                              <w:vertAlign w:val="baseline"/>
                              <w:cs w:val="0"/>
                              <w:em w:val="none"/>
                              <w:lang/>
                            </w:rPr>
                            <w:t>INSPECTORATUL TERITORIAL DE MUNCĂ GALAŢI</w:t>
                          </w:r>
                        </w:p>
                        <w:p w:rsidR="00000000" w:rsidDel="00000000" w:rsidP="00000000" w:rsidRDefault="00000000" w:rsidRPr="00000000">
                          <w:pPr>
                            <w:pStyle w:val="Normal"/>
                            <w:suppressAutoHyphens w:val="1"/>
                            <w:spacing w:line="1" w:lineRule="atLeast"/>
                            <w:ind w:leftChars="-1" w:rightChars="0" w:firstLineChars="-1"/>
                            <w:textDirection w:val="btLr"/>
                            <w:textAlignment w:val="top"/>
                            <w:outlineLvl w:val="0"/>
                            <w:rPr>
                              <w:w w:val="100"/>
                              <w:position w:val="-1"/>
                              <w:effect w:val="none"/>
                              <w:vertAlign w:val="baseline"/>
                              <w:cs w:val="0"/>
                              <w:em w:val="none"/>
                              <w:lang/>
                            </w:rPr>
                          </w:pPr>
                          <w:r w:rsidDel="000000-1" w:rsidR="00591387" w:rsidRPr="000000-1">
                            <w:rPr>
                              <w:w w:val="100"/>
                              <w:position w:val="-1"/>
                              <w:effect w:val="none"/>
                              <w:vertAlign w:val="baseline"/>
                              <w:cs w:val="0"/>
                              <w:em w:val="none"/>
                              <w:lang/>
                            </w:rPr>
                          </w:r>
                        </w:p>
                      </w:txbxContent>
                    </wps:txbx>
                    <wps:bodyPr anchorCtr="0" anchor="t" bIns="45720" lIns="91440" rIns="91440" rot="0" upright="1" vert="horz" wrap="square" tIns="4572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7620</wp:posOffset>
              </wp:positionV>
              <wp:extent cx="2138644" cy="456769"/>
              <wp:effectExtent b="0" l="0" r="0" t="0"/>
              <wp:wrapNone/>
              <wp:docPr id="2"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2138644" cy="456769"/>
                      </a:xfrm>
                      <a:prstGeom prst="rect"/>
                      <a:ln/>
                    </pic:spPr>
                  </pic:pic>
                </a:graphicData>
              </a:graphic>
            </wp:anchor>
          </w:drawing>
        </mc:Fallback>
      </mc:AlternateConten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2.xml"/><Relationship Id="rId7" Type="http://schemas.openxmlformats.org/officeDocument/2006/relationships/header" Target="header1.xml"/><Relationship Id="rId8"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itmgalati.ro"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mgalati.ro" TargetMode="External"/><Relationship Id="rId2" Type="http://schemas.openxmlformats.org/officeDocument/2006/relationships/hyperlink" Target="http://www.romania2019.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