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Inspectoratul Teritorial de Muncă Galați                                                                                Nr. </w:t>
      </w:r>
      <w:r w:rsidR="00DE5E16">
        <w:rPr>
          <w:rFonts w:ascii="Trebuchet MS" w:hAnsi="Trebuchet MS"/>
          <w:b/>
        </w:rPr>
        <w:t>2731/28.02.2024</w:t>
      </w: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3917FE" w:rsidRDefault="003917FE" w:rsidP="009D32AB">
      <w:pPr>
        <w:jc w:val="both"/>
        <w:rPr>
          <w:rFonts w:ascii="Trebuchet MS" w:hAnsi="Trebuchet MS"/>
          <w:b/>
        </w:rPr>
      </w:pPr>
    </w:p>
    <w:p w:rsidR="00CD5B3B" w:rsidRDefault="000A62D9" w:rsidP="009D32A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</w:t>
      </w:r>
      <w:r w:rsidR="00C205AD">
        <w:rPr>
          <w:rFonts w:ascii="Trebuchet MS" w:hAnsi="Trebuchet MS"/>
          <w:b/>
        </w:rPr>
        <w:t xml:space="preserve"> nr. </w:t>
      </w:r>
      <w:r w:rsidR="0072676B">
        <w:rPr>
          <w:rFonts w:ascii="Trebuchet MS" w:hAnsi="Trebuchet MS"/>
          <w:b/>
        </w:rPr>
        <w:t>3</w:t>
      </w:r>
      <w:r w:rsidR="0003646B">
        <w:rPr>
          <w:rFonts w:ascii="Trebuchet MS" w:hAnsi="Trebuchet MS"/>
          <w:b/>
        </w:rPr>
        <w:t xml:space="preserve"> </w:t>
      </w:r>
      <w:r w:rsidR="003D125A">
        <w:rPr>
          <w:rFonts w:ascii="Trebuchet MS" w:hAnsi="Trebuchet MS"/>
          <w:b/>
        </w:rPr>
        <w:t>la H.G. nr. 1269/2021</w:t>
      </w:r>
      <w:r>
        <w:rPr>
          <w:rFonts w:ascii="Trebuchet MS" w:hAnsi="Trebuchet MS"/>
          <w:b/>
        </w:rPr>
        <w:t xml:space="preserve">- </w:t>
      </w:r>
      <w:r w:rsidR="00830083" w:rsidRPr="00830083">
        <w:rPr>
          <w:rFonts w:ascii="Trebuchet MS" w:hAnsi="Trebuchet MS"/>
          <w:b/>
        </w:rPr>
        <w:t xml:space="preserve">Inventarul măsurilor </w:t>
      </w:r>
      <w:r w:rsidR="003D125A">
        <w:rPr>
          <w:rFonts w:ascii="Trebuchet MS" w:hAnsi="Trebuchet MS"/>
          <w:b/>
        </w:rPr>
        <w:t>preventive</w:t>
      </w:r>
      <w:r w:rsidR="00C205AD">
        <w:rPr>
          <w:rFonts w:ascii="Trebuchet MS" w:hAnsi="Trebuchet MS"/>
          <w:b/>
        </w:rPr>
        <w:t>, precum și indicatorii de evaluare</w:t>
      </w:r>
    </w:p>
    <w:p w:rsidR="00C205AD" w:rsidRDefault="00C205AD" w:rsidP="009D32A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Anul de referință: </w:t>
      </w:r>
      <w:r w:rsidR="0003646B">
        <w:rPr>
          <w:rFonts w:ascii="Trebuchet MS" w:hAnsi="Trebuchet MS"/>
          <w:b/>
        </w:rPr>
        <w:t>202</w:t>
      </w:r>
      <w:r w:rsidR="00CF246B">
        <w:rPr>
          <w:rFonts w:ascii="Trebuchet MS" w:hAnsi="Trebuchet MS"/>
          <w:b/>
        </w:rPr>
        <w:t>3</w:t>
      </w:r>
    </w:p>
    <w:p w:rsidR="0008773B" w:rsidRDefault="0008773B" w:rsidP="009D32AB">
      <w:pPr>
        <w:jc w:val="both"/>
        <w:rPr>
          <w:rFonts w:ascii="Trebuchet MS" w:hAnsi="Trebuchet MS"/>
          <w:b/>
        </w:rPr>
      </w:pPr>
    </w:p>
    <w:p w:rsidR="00C205AD" w:rsidRPr="00CD5B3B" w:rsidRDefault="00C205AD" w:rsidP="00CD5B3B"/>
    <w:tbl>
      <w:tblPr>
        <w:tblpPr w:leftFromText="180" w:rightFromText="180" w:vertAnchor="text" w:tblpX="-72" w:tblpY="1"/>
        <w:tblOverlap w:val="never"/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3"/>
        <w:gridCol w:w="5490"/>
        <w:gridCol w:w="5220"/>
        <w:gridCol w:w="1440"/>
      </w:tblGrid>
      <w:tr w:rsidR="00460503" w:rsidRPr="00DF4EE2" w:rsidTr="0080053A">
        <w:trPr>
          <w:trHeight w:val="338"/>
        </w:trPr>
        <w:tc>
          <w:tcPr>
            <w:tcW w:w="540" w:type="dxa"/>
            <w:shd w:val="clear" w:color="auto" w:fill="D9D9D9" w:themeFill="background1" w:themeFillShade="D9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Măsură preventivă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460503" w:rsidRPr="000A62D9" w:rsidRDefault="00460503" w:rsidP="00CE5F08">
            <w:pPr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Sediul materiei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460503" w:rsidRPr="000A62D9" w:rsidRDefault="00CA5387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Indicatori de evaluare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A62D9">
              <w:rPr>
                <w:rFonts w:ascii="Trebuchet MS" w:hAnsi="Trebuchet MS"/>
                <w:b/>
                <w:sz w:val="22"/>
                <w:szCs w:val="22"/>
              </w:rPr>
              <w:t>Total</w:t>
            </w:r>
          </w:p>
        </w:tc>
      </w:tr>
      <w:tr w:rsidR="00460503" w:rsidRPr="00DF4EE2" w:rsidTr="003917FE">
        <w:trPr>
          <w:trHeight w:val="213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1. 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3E45AA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Cod etic/</w:t>
            </w:r>
          </w:p>
          <w:p w:rsidR="00EA4521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deontologic/</w:t>
            </w:r>
          </w:p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de conduită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CE5F08" w:rsidRPr="00CE5F08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B165F3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Ordinul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Secretariatului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General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600/2018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aprobarea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Codului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controlului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intern managerial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entităților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B165F3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303/2004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statutul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judecătorilor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procurorilor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republicată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CE5F08" w:rsidRPr="00CE5F08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Hotărârea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nr.991/2005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aprobarea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etică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deontologie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polițistului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B165F3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Hotărârea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Consiliului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Superior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Magistraturii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328/2005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aprobarea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deontologic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al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judecătorilor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procurorilor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B165F3" w:rsidRPr="00EA4521" w:rsidRDefault="00CE5F08" w:rsidP="00CE5F0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Hotărârea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Parlamentului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77 din 11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octombrie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2017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conduită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deputaților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senatorilor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sesizări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privind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încălcări</w:t>
            </w:r>
            <w:proofErr w:type="spellEnd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ale</w:t>
            </w:r>
            <w:r w:rsidR="00CE5F0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5F08" w:rsidRPr="00CE5F08">
              <w:rPr>
                <w:rFonts w:ascii="Trebuchet MS" w:hAnsi="Trebuchet MS"/>
                <w:sz w:val="22"/>
                <w:szCs w:val="22"/>
                <w:lang w:val="en-US"/>
              </w:rPr>
              <w:t>codului</w:t>
            </w:r>
            <w:proofErr w:type="spellEnd"/>
          </w:p>
        </w:tc>
        <w:tc>
          <w:tcPr>
            <w:tcW w:w="1440" w:type="dxa"/>
            <w:vAlign w:val="center"/>
          </w:tcPr>
          <w:p w:rsidR="00460503" w:rsidRPr="000A62D9" w:rsidRDefault="003917FE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soluţionate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Durata </w:t>
            </w:r>
            <w:r>
              <w:rPr>
                <w:rFonts w:ascii="Trebuchet MS" w:hAnsi="Trebuchet MS"/>
                <w:sz w:val="22"/>
                <w:szCs w:val="22"/>
              </w:rPr>
              <w:t xml:space="preserve">medie a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procedurilor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decizii prin care s-a confirmat încălcarea </w:t>
            </w:r>
            <w:r>
              <w:rPr>
                <w:rFonts w:ascii="Trebuchet MS" w:hAnsi="Trebuchet MS"/>
                <w:sz w:val="22"/>
                <w:szCs w:val="22"/>
              </w:rPr>
              <w:t>codului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decizii </w:t>
            </w:r>
            <w:r>
              <w:rPr>
                <w:rFonts w:ascii="Trebuchet MS" w:hAnsi="Trebuchet MS"/>
                <w:sz w:val="22"/>
                <w:szCs w:val="22"/>
              </w:rPr>
              <w:t xml:space="preserve">infirmate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în instanţă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Gradul de cunoaştere de către angajaţi a </w:t>
            </w:r>
            <w:r>
              <w:rPr>
                <w:rFonts w:ascii="Trebuchet MS" w:hAnsi="Trebuchet MS"/>
                <w:sz w:val="22"/>
                <w:szCs w:val="22"/>
              </w:rPr>
              <w:t>codului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(chestionare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>.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02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2. 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Declararea averilor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CE5F08" w:rsidRPr="00CE5F08" w:rsidRDefault="00CE5F08" w:rsidP="00B165F3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proofErr w:type="gramEnd"/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="00B165F3"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>completările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CE5F08" w:rsidRPr="00CE5F08" w:rsidRDefault="00CE5F08" w:rsidP="00B165F3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176/2010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funcțiilor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demnităților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144/2007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înființarea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funcționarea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Agenției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Naționale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altor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acte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normative</w:t>
            </w:r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CE5F08" w:rsidRPr="00CE5F08" w:rsidRDefault="00CE5F08" w:rsidP="00CE5F08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</w:p>
          <w:p w:rsidR="00460503" w:rsidRPr="000A62D9" w:rsidRDefault="00CE5F08" w:rsidP="00CE5F0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proofErr w:type="gram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proofErr w:type="gram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5F08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B165F3"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obligaţia depunerii declaraţiei de avere</w:t>
            </w:r>
          </w:p>
        </w:tc>
        <w:tc>
          <w:tcPr>
            <w:tcW w:w="1440" w:type="dxa"/>
            <w:vAlign w:val="center"/>
          </w:tcPr>
          <w:p w:rsidR="00460503" w:rsidRPr="00E42A58" w:rsidRDefault="00E42A58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2A58">
              <w:rPr>
                <w:rFonts w:ascii="Trebuchet MS" w:hAnsi="Trebuchet MS"/>
                <w:sz w:val="22"/>
                <w:szCs w:val="22"/>
              </w:rPr>
              <w:t>49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persoane care </w:t>
            </w:r>
            <w:r w:rsidR="00461FCA">
              <w:rPr>
                <w:rFonts w:ascii="Trebuchet MS" w:hAnsi="Trebuchet MS"/>
                <w:sz w:val="22"/>
                <w:szCs w:val="22"/>
              </w:rPr>
              <w:t>nu au depus în termen declaraţia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de avere </w:t>
            </w:r>
          </w:p>
        </w:tc>
        <w:tc>
          <w:tcPr>
            <w:tcW w:w="1440" w:type="dxa"/>
            <w:vAlign w:val="center"/>
          </w:tcPr>
          <w:p w:rsidR="00460503" w:rsidRPr="000A62D9" w:rsidRDefault="00E42A58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460503" w:rsidRPr="00DF4EE2" w:rsidTr="003917FE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ale ANI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8A325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decizii ANI </w:t>
            </w:r>
            <w:r>
              <w:rPr>
                <w:rFonts w:ascii="Trebuchet MS" w:hAnsi="Trebuchet MS"/>
                <w:sz w:val="22"/>
                <w:szCs w:val="22"/>
              </w:rPr>
              <w:t>privind personalul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instituţie</w:t>
            </w:r>
            <w:r>
              <w:rPr>
                <w:rFonts w:ascii="Trebuchet MS" w:hAnsi="Trebuchet MS"/>
                <w:sz w:val="22"/>
                <w:szCs w:val="22"/>
              </w:rPr>
              <w:t>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ale ANI puse în aplicare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consultaţii oferite de persoanele responsabile pentru implementarea prevederilor legale privind declaraţiile de avere şi declaraţiile de interese </w:t>
            </w:r>
          </w:p>
        </w:tc>
        <w:tc>
          <w:tcPr>
            <w:tcW w:w="1440" w:type="dxa"/>
            <w:vAlign w:val="center"/>
          </w:tcPr>
          <w:p w:rsidR="00460503" w:rsidRPr="000A62D9" w:rsidRDefault="00E42A58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</w:t>
            </w:r>
          </w:p>
        </w:tc>
      </w:tr>
      <w:tr w:rsidR="00460503" w:rsidRPr="00DF4EE2" w:rsidTr="003917FE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declararea averilor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37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8A325C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237"/>
        </w:trPr>
        <w:tc>
          <w:tcPr>
            <w:tcW w:w="540" w:type="dxa"/>
            <w:vMerge w:val="restart"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E5384" w:rsidRPr="009D32AB" w:rsidRDefault="000E538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Declararea cadourilor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0E5384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t>Legea nr. 251/2004 privind unele măsuri referitoare la bunurile primite cu titlu gratuit cu prilejul unor acţiuni de protocol în exercitarea mandatului sau a funcţiei</w:t>
            </w:r>
          </w:p>
          <w:p w:rsidR="000E5384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0E5384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0E5384" w:rsidRPr="00FB6C0B" w:rsidRDefault="000E5384" w:rsidP="00585C04">
            <w:pPr>
              <w:spacing w:after="60" w:line="276" w:lineRule="auto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0E538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cadouri înregistrate în registru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cadouri </w:t>
            </w:r>
            <w:r>
              <w:rPr>
                <w:rFonts w:ascii="Trebuchet MS" w:hAnsi="Trebuchet MS"/>
                <w:sz w:val="22"/>
                <w:szCs w:val="22"/>
              </w:rPr>
              <w:t xml:space="preserve">publicate </w:t>
            </w:r>
            <w:r w:rsidRPr="000A62D9">
              <w:rPr>
                <w:rFonts w:ascii="Trebuchet MS" w:hAnsi="Trebuchet MS"/>
                <w:sz w:val="22"/>
                <w:szCs w:val="22"/>
              </w:rPr>
              <w:t>pe site-ul instituţiei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198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0E538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>
              <w:rPr>
                <w:rFonts w:ascii="Trebuchet MS" w:hAnsi="Trebuchet MS"/>
                <w:sz w:val="22"/>
                <w:szCs w:val="22"/>
              </w:rPr>
              <w:t>cadouri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păstrate de angajat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0E538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4.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Valoarea </w:t>
            </w:r>
            <w:r>
              <w:rPr>
                <w:rFonts w:ascii="Trebuchet MS" w:hAnsi="Trebuchet MS"/>
                <w:sz w:val="22"/>
                <w:szCs w:val="22"/>
              </w:rPr>
              <w:t xml:space="preserve">totală a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cadourilor primite 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0E5384" w:rsidRPr="00DF4EE2" w:rsidTr="003917FE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5. </w:t>
            </w:r>
            <w:r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declararea averilor (chestionar de evaluare)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0E5384" w:rsidRPr="00DF4EE2" w:rsidTr="003917FE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0E5384" w:rsidRPr="000A62D9" w:rsidRDefault="000E538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0E5384" w:rsidRPr="00FB6C0B" w:rsidRDefault="000E538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0E5384" w:rsidRDefault="000E538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6.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0E538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47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Conflicte de interese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; </w:t>
            </w:r>
          </w:p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176/2010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144/2007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înfiinţarea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>funcţionarea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Agenţiei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Naţionale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altor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acte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normative;</w:t>
            </w:r>
          </w:p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184/2016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instituirea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unui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mecanism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conflictului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procedura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atribuire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contractelor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achiziţie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publică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460503" w:rsidRPr="00FB6C0B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proofErr w:type="spellStart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461FCA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penal.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461FCA" w:rsidRPr="000A62D9">
              <w:rPr>
                <w:rFonts w:ascii="Trebuchet MS" w:hAnsi="Trebuchet MS"/>
                <w:sz w:val="22"/>
                <w:szCs w:val="22"/>
              </w:rPr>
              <w:t xml:space="preserve"> Număr de persoane care au obligaţia depunerii declaraţiei de </w:t>
            </w:r>
            <w:r w:rsidR="00461FCA">
              <w:rPr>
                <w:rFonts w:ascii="Trebuchet MS" w:hAnsi="Trebuchet MS"/>
                <w:sz w:val="22"/>
                <w:szCs w:val="22"/>
              </w:rPr>
              <w:t>interese</w:t>
            </w:r>
          </w:p>
        </w:tc>
        <w:tc>
          <w:tcPr>
            <w:tcW w:w="1440" w:type="dxa"/>
            <w:vAlign w:val="center"/>
          </w:tcPr>
          <w:p w:rsidR="00460503" w:rsidRPr="00E42A58" w:rsidRDefault="00E42A58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42A58">
              <w:rPr>
                <w:rFonts w:ascii="Trebuchet MS" w:hAnsi="Trebuchet MS"/>
                <w:sz w:val="22"/>
                <w:szCs w:val="22"/>
              </w:rPr>
              <w:t>49</w:t>
            </w:r>
          </w:p>
        </w:tc>
      </w:tr>
      <w:tr w:rsidR="00461FCA" w:rsidRPr="00DF4EE2" w:rsidTr="003917FE">
        <w:trPr>
          <w:trHeight w:val="247"/>
        </w:trPr>
        <w:tc>
          <w:tcPr>
            <w:tcW w:w="540" w:type="dxa"/>
            <w:vMerge/>
            <w:shd w:val="clear" w:color="auto" w:fill="auto"/>
          </w:tcPr>
          <w:p w:rsidR="00461FCA" w:rsidRPr="000A62D9" w:rsidRDefault="00461FC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1FCA" w:rsidRPr="009D32AB" w:rsidRDefault="00461FCA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:rsidR="00461FCA" w:rsidRDefault="00461FCA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persoane care </w:t>
            </w:r>
            <w:r>
              <w:rPr>
                <w:rFonts w:ascii="Trebuchet MS" w:hAnsi="Trebuchet MS"/>
                <w:sz w:val="22"/>
                <w:szCs w:val="22"/>
              </w:rPr>
              <w:t>nu au depus în termen declaraţia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de </w:t>
            </w:r>
            <w:r>
              <w:rPr>
                <w:rFonts w:ascii="Trebuchet MS" w:hAnsi="Trebuchet MS"/>
                <w:sz w:val="22"/>
                <w:szCs w:val="22"/>
              </w:rPr>
              <w:t>interese</w:t>
            </w:r>
          </w:p>
        </w:tc>
        <w:tc>
          <w:tcPr>
            <w:tcW w:w="1440" w:type="dxa"/>
            <w:vAlign w:val="center"/>
          </w:tcPr>
          <w:p w:rsidR="00461FCA" w:rsidRPr="000A62D9" w:rsidRDefault="00CA5402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461FCA" w:rsidRPr="00DF4EE2" w:rsidTr="003917FE">
        <w:trPr>
          <w:trHeight w:val="247"/>
        </w:trPr>
        <w:tc>
          <w:tcPr>
            <w:tcW w:w="540" w:type="dxa"/>
            <w:vMerge/>
            <w:shd w:val="clear" w:color="auto" w:fill="auto"/>
          </w:tcPr>
          <w:p w:rsidR="00461FCA" w:rsidRPr="000A62D9" w:rsidRDefault="00461FC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1FCA" w:rsidRPr="009D32AB" w:rsidRDefault="00461FCA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1FCA" w:rsidRPr="00461FCA" w:rsidRDefault="00461FCA" w:rsidP="00461FCA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:rsidR="00461FCA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3 .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declaraţii de abţinere</w:t>
            </w:r>
          </w:p>
        </w:tc>
        <w:tc>
          <w:tcPr>
            <w:tcW w:w="1440" w:type="dxa"/>
            <w:vAlign w:val="center"/>
          </w:tcPr>
          <w:p w:rsidR="00461FCA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38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situaţii în care superiorul ierarhic a dispus înlocuirea persoanei aflată în situaţia de potenţial conflict de interese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primite de instituţie de la terţe persoane cu privire la existenţa unui conflict de interese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ANI prin care s-a constatat starea de conflict de interese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7. </w:t>
            </w:r>
            <w:r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conflictul de interese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 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Nr. de proceduri de achiziție analizate</w:t>
            </w:r>
            <w:r>
              <w:rPr>
                <w:rFonts w:ascii="Trebuchet MS" w:hAnsi="Trebuchet MS"/>
                <w:sz w:val="22"/>
                <w:szCs w:val="22"/>
              </w:rPr>
              <w:t xml:space="preserve"> în PREVENT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  <w:r w:rsidR="00461FCA">
              <w:rPr>
                <w:rFonts w:ascii="Trebuchet MS" w:hAnsi="Trebuchet MS"/>
                <w:sz w:val="22"/>
                <w:szCs w:val="22"/>
              </w:rPr>
              <w:t>0</w:t>
            </w:r>
            <w:r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Nr. de avertismente de integritate emise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  <w:r w:rsidR="00461FCA">
              <w:rPr>
                <w:rFonts w:ascii="Trebuchet MS" w:hAnsi="Trebuchet MS"/>
                <w:sz w:val="22"/>
                <w:szCs w:val="22"/>
              </w:rPr>
              <w:t>1</w:t>
            </w:r>
            <w:r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Nr. de conflicte de interese prevenite</w:t>
            </w:r>
            <w:r w:rsidR="00461FCA">
              <w:rPr>
                <w:rFonts w:ascii="Trebuchet MS" w:hAnsi="Trebuchet MS"/>
                <w:sz w:val="22"/>
                <w:szCs w:val="22"/>
              </w:rPr>
              <w:t xml:space="preserve"> prin utilizarea sistemului PREVENT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34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Consilier de etică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0E5384" w:rsidRDefault="000E5384" w:rsidP="000E538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</w:pP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Ordonanța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Urgență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a</w:t>
            </w:r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Guvernului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nr. 57/2019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privind</w:t>
            </w:r>
            <w:proofErr w:type="spellEnd"/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Codul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administrativ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, cu</w:t>
            </w:r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modificările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și</w:t>
            </w:r>
            <w:proofErr w:type="spellEnd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completările</w:t>
            </w:r>
            <w:proofErr w:type="spellEnd"/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E5384"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>ulterioare</w:t>
            </w:r>
            <w:proofErr w:type="spellEnd"/>
            <w:r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  <w:t xml:space="preserve">; </w:t>
            </w:r>
          </w:p>
          <w:p w:rsidR="000E5384" w:rsidRPr="000E5384" w:rsidRDefault="000E5384" w:rsidP="000E5384">
            <w:pPr>
              <w:rPr>
                <w:rFonts w:ascii="Trebuchet MS" w:eastAsia="MS Mincho" w:hAnsi="Trebuchet MS"/>
                <w:sz w:val="22"/>
                <w:szCs w:val="22"/>
                <w:lang w:val="en-US" w:eastAsia="en-US"/>
              </w:rPr>
            </w:pPr>
          </w:p>
          <w:p w:rsidR="00460503" w:rsidRPr="006D0944" w:rsidRDefault="00460503" w:rsidP="000E538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rebuchet MS" w:eastAsia="MS Mincho" w:hAnsi="Trebuchet MS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şedinţe de consultare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9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61FC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angajaţi care au </w:t>
            </w:r>
            <w:r w:rsidR="00461FCA">
              <w:rPr>
                <w:rFonts w:ascii="Trebuchet MS" w:hAnsi="Trebuchet MS"/>
                <w:sz w:val="22"/>
                <w:szCs w:val="22"/>
              </w:rPr>
              <w:t>solicitat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consiliere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Gradul de cunoaştere de către angajaţi a normelor privind consilierul etic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602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61FC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04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8C176F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Incompatibili</w:t>
            </w:r>
            <w:r w:rsidR="008C176F">
              <w:rPr>
                <w:rFonts w:ascii="Trebuchet MS" w:hAnsi="Trebuchet MS"/>
                <w:b/>
                <w:sz w:val="22"/>
                <w:szCs w:val="22"/>
              </w:rPr>
              <w:t>-</w:t>
            </w:r>
          </w:p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 xml:space="preserve">tăţi 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E01EEC" w:rsidRPr="00E01EEC" w:rsidRDefault="00E01EEC" w:rsidP="00E01EEC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E01EEC" w:rsidRPr="00E01EEC" w:rsidRDefault="00E01EEC" w:rsidP="00E01EEC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176/2010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144/2007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înfiinţarea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funcţionarea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Agenţiei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Naţionale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Integritate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completarea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altor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acte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normative</w:t>
            </w:r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>;</w:t>
            </w:r>
          </w:p>
          <w:p w:rsidR="00460503" w:rsidRPr="000A62D9" w:rsidRDefault="00E01EEC" w:rsidP="00A758EE">
            <w:pPr>
              <w:spacing w:after="12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>Legea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="00A758EE"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aflate în stare de incompatibilitate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sesizări ale ANI formulate de către instituţie 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5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sesizări primite de instituţie de la terţe persoane cu privire la existenţa unei incompatibilităţi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01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4.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ale ANI cu privire la constatarea unor incompatibilităţi</w:t>
            </w:r>
            <w:r w:rsidR="009B79B4">
              <w:rPr>
                <w:rFonts w:ascii="Trebuchet MS" w:hAnsi="Trebuchet MS"/>
                <w:sz w:val="22"/>
                <w:szCs w:val="22"/>
              </w:rPr>
              <w:t xml:space="preserve"> indiferent de calea de sesizare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5.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decizii confirmate de instanță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B79B4" w:rsidP="009B79B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Gradul de cunoaştere de către angajaţi a normelor privind </w:t>
            </w:r>
            <w:r>
              <w:rPr>
                <w:rFonts w:ascii="Trebuchet MS" w:hAnsi="Trebuchet MS"/>
                <w:sz w:val="22"/>
                <w:szCs w:val="22"/>
              </w:rPr>
              <w:t>incompatibilitățile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 (chestionar de evaluare)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B79B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 xml:space="preserve">7. </w:t>
            </w: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lastRenderedPageBreak/>
              <w:t>Transparenţă în procesul decizional</w:t>
            </w: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15CD4" w:rsidRPr="009D32AB" w:rsidRDefault="00D15CD4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5490" w:type="dxa"/>
            <w:vMerge w:val="restart"/>
            <w:shd w:val="clear" w:color="auto" w:fill="auto"/>
          </w:tcPr>
          <w:p w:rsidR="00D15CD4" w:rsidRDefault="00D15CD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lastRenderedPageBreak/>
              <w:t>Legea nr. 52/2003 privind transparenţa decizională în administraţia publică, cu modificările şi completările ulterioare</w:t>
            </w:r>
            <w:r>
              <w:rPr>
                <w:rFonts w:ascii="Trebuchet MS" w:hAnsi="Trebuchet MS"/>
                <w:i/>
                <w:sz w:val="22"/>
                <w:szCs w:val="22"/>
              </w:rPr>
              <w:t>;</w:t>
            </w: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Pr="00E01EEC" w:rsidRDefault="00D15CD4" w:rsidP="007E6918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</w:p>
          <w:p w:rsidR="00D15CD4" w:rsidRPr="00FB6C0B" w:rsidRDefault="00D15CD4" w:rsidP="00585C04">
            <w:pPr>
              <w:spacing w:after="60"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proiecte de acte normative adoptate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47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anunţuri publice privind proiectele de acte normative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408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7E6918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recomandări transmise de societatea civilă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procesul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transparență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decizională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asigurat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inițierea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modificarea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sau</w:t>
            </w:r>
            <w:proofErr w:type="spellEnd"/>
          </w:p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completarea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unor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acte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normative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64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4.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Gradul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acceptare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preluare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al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recomandărilor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formulate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societatea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civilă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privire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proiectele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acte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normative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supuse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consultării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(ca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procent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între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numărul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total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recomandări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transmise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numărul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propuneri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efectiv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preluate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5.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proiecte de acte normative modificate în urma procesului de consultare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6.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şedinţe publice organizate la inițiativa instituției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7.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>
              <w:rPr>
                <w:rFonts w:ascii="Trebuchet MS" w:hAnsi="Trebuchet MS"/>
                <w:sz w:val="22"/>
                <w:szCs w:val="22"/>
              </w:rPr>
              <w:t>dezbateri publice organizate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8. </w:t>
            </w:r>
            <w:r w:rsidRPr="000A62D9">
              <w:rPr>
                <w:rFonts w:ascii="Trebuchet MS" w:hAnsi="Trebuchet MS"/>
                <w:sz w:val="22"/>
                <w:szCs w:val="22"/>
                <w:lang w:eastAsia="en-US"/>
              </w:rPr>
              <w:t xml:space="preserve">Număr de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>participanţi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>şedinţele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 w:eastAsia="en-US"/>
              </w:rPr>
              <w:t>publice</w:t>
            </w:r>
            <w:proofErr w:type="spellEnd"/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9.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ședințe publice organizate la solicitarea societății civile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10.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minute publicate, realizate la ședințele publice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11.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plângeri în justiţie privind nerespectarea prevederilor legale de către instituţie 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226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12.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persoane care au fost instruite prin </w:t>
            </w:r>
            <w:r w:rsidRPr="000A62D9">
              <w:rPr>
                <w:rFonts w:ascii="Trebuchet MS" w:hAnsi="Trebuchet MS"/>
                <w:sz w:val="22"/>
                <w:szCs w:val="22"/>
              </w:rPr>
              <w:lastRenderedPageBreak/>
              <w:t>intermediul acţiunilor de formare profesională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0</w:t>
            </w:r>
          </w:p>
        </w:tc>
      </w:tr>
      <w:tr w:rsidR="00D15CD4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13. </w:t>
            </w:r>
            <w:r w:rsidRPr="000A62D9">
              <w:rPr>
                <w:rFonts w:ascii="Trebuchet MS" w:hAnsi="Trebuchet MS"/>
                <w:sz w:val="22"/>
                <w:szCs w:val="22"/>
                <w:lang w:eastAsia="en-US"/>
              </w:rPr>
              <w:t>Număr de rapoarte anuale privind transparența decizională disponibile pe site-ul instituției;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>1</w:t>
            </w:r>
          </w:p>
        </w:tc>
      </w:tr>
      <w:tr w:rsidR="00D15CD4" w:rsidRPr="00DF4EE2" w:rsidTr="003917FE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7E6918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14. </w:t>
            </w:r>
            <w:r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demnitari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înscriși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Registrul</w:t>
            </w:r>
            <w:proofErr w:type="spellEnd"/>
          </w:p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eastAsia="en-US"/>
              </w:rPr>
            </w:pP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Unic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Transparenței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Intereselor</w:t>
            </w:r>
            <w:proofErr w:type="spellEnd"/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0A62D9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15. </w:t>
            </w:r>
            <w:r w:rsidRPr="000A62D9">
              <w:rPr>
                <w:rFonts w:ascii="Trebuchet MS" w:hAnsi="Trebuchet MS"/>
                <w:sz w:val="22"/>
                <w:szCs w:val="22"/>
              </w:rPr>
              <w:t>Număr de întâlniri raportate în RUTI de către factorii de decizie vizați de registru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D15CD4" w:rsidRPr="00DF4EE2" w:rsidTr="003917F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7E6918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16. </w:t>
            </w:r>
            <w:r w:rsidRPr="007E6918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Gradul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cunoaştere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către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angajaţi</w:t>
            </w:r>
            <w:proofErr w:type="spellEnd"/>
          </w:p>
          <w:p w:rsidR="00D15CD4" w:rsidRDefault="00D15CD4" w:rsidP="007E6918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normelor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privind</w:t>
            </w:r>
            <w:proofErr w:type="spellEnd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918">
              <w:rPr>
                <w:rFonts w:ascii="Trebuchet MS" w:hAnsi="Trebuchet MS"/>
                <w:sz w:val="22"/>
                <w:szCs w:val="22"/>
                <w:lang w:val="en-US"/>
              </w:rPr>
              <w:t>transparența</w:t>
            </w:r>
            <w:proofErr w:type="spellEnd"/>
            <w:r w:rsidR="00A47358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A47358" w:rsidRPr="000A62D9">
              <w:rPr>
                <w:rFonts w:ascii="Trebuchet MS" w:hAnsi="Trebuchet MS"/>
                <w:sz w:val="22"/>
                <w:szCs w:val="22"/>
              </w:rPr>
              <w:t>(chestionare de evaluare)</w:t>
            </w:r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100%</w:t>
            </w:r>
          </w:p>
        </w:tc>
      </w:tr>
      <w:tr w:rsidR="00D15CD4" w:rsidRPr="00DF4EE2" w:rsidTr="003917F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D15CD4" w:rsidRPr="000A62D9" w:rsidRDefault="00D15CD4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D15CD4" w:rsidRPr="00FB0C95" w:rsidRDefault="00D15CD4" w:rsidP="00FB0C9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17. </w:t>
            </w:r>
            <w:r w:rsidRPr="00FB0C9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persoane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fost</w:t>
            </w:r>
            <w:proofErr w:type="spellEnd"/>
          </w:p>
          <w:p w:rsidR="00D15CD4" w:rsidRPr="00FB0C95" w:rsidRDefault="00D15CD4" w:rsidP="00FB0C9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instruite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prin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intermediul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acţiunilor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</w:p>
          <w:p w:rsidR="00D15CD4" w:rsidRDefault="00D15CD4" w:rsidP="00FB0C9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formare</w:t>
            </w:r>
            <w:proofErr w:type="spellEnd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C95">
              <w:rPr>
                <w:rFonts w:ascii="Trebuchet MS" w:hAnsi="Trebuchet MS"/>
                <w:sz w:val="22"/>
                <w:szCs w:val="22"/>
                <w:lang w:val="en-US"/>
              </w:rPr>
              <w:t>profesională</w:t>
            </w:r>
            <w:proofErr w:type="spellEnd"/>
          </w:p>
        </w:tc>
        <w:tc>
          <w:tcPr>
            <w:tcW w:w="1440" w:type="dxa"/>
            <w:vAlign w:val="center"/>
          </w:tcPr>
          <w:p w:rsidR="00D15CD4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6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Acces la informaţii de interes public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0503" w:rsidRDefault="00460503" w:rsidP="00585C0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t>Legea nr. 544/2001 privind liberul acces la informaţiile de interes public, cu modificările ulterioare</w:t>
            </w:r>
            <w:r w:rsidR="00964114">
              <w:rPr>
                <w:rFonts w:ascii="Trebuchet MS" w:hAnsi="Trebuchet MS"/>
                <w:i/>
                <w:sz w:val="22"/>
                <w:szCs w:val="22"/>
              </w:rPr>
              <w:t>;</w:t>
            </w:r>
          </w:p>
          <w:p w:rsidR="00964114" w:rsidRDefault="00964114" w:rsidP="00585C0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964114" w:rsidRPr="00E01EEC" w:rsidRDefault="00964114" w:rsidP="00964114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Ordonanța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Urgență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57/2019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Codul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administrativ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, cu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1EEC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>.</w:t>
            </w:r>
          </w:p>
          <w:p w:rsidR="00964114" w:rsidRPr="00FB6C0B" w:rsidRDefault="00964114" w:rsidP="00585C0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</w:p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seturi de date publicate în format deschis pe platforma data.gov.ro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5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solicitări de informaţii de interes public primite</w:t>
            </w:r>
          </w:p>
        </w:tc>
        <w:tc>
          <w:tcPr>
            <w:tcW w:w="1440" w:type="dxa"/>
            <w:vAlign w:val="center"/>
          </w:tcPr>
          <w:p w:rsidR="00460503" w:rsidRPr="00900342" w:rsidRDefault="00900342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00342">
              <w:rPr>
                <w:rFonts w:ascii="Trebuchet MS" w:hAnsi="Trebuchet MS"/>
                <w:sz w:val="22"/>
                <w:szCs w:val="22"/>
              </w:rPr>
              <w:t>957</w:t>
            </w:r>
          </w:p>
        </w:tc>
      </w:tr>
      <w:tr w:rsidR="00460503" w:rsidRPr="00DF4EE2" w:rsidTr="003917FE">
        <w:trPr>
          <w:trHeight w:val="15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răspunsuri comunicate în termenul legal</w:t>
            </w:r>
          </w:p>
        </w:tc>
        <w:tc>
          <w:tcPr>
            <w:tcW w:w="1440" w:type="dxa"/>
            <w:vAlign w:val="center"/>
          </w:tcPr>
          <w:p w:rsidR="00460503" w:rsidRPr="00900342" w:rsidRDefault="00900342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900342">
              <w:rPr>
                <w:rFonts w:ascii="Trebuchet MS" w:hAnsi="Trebuchet MS"/>
                <w:sz w:val="22"/>
                <w:szCs w:val="22"/>
              </w:rPr>
              <w:t>957</w:t>
            </w:r>
          </w:p>
        </w:tc>
      </w:tr>
      <w:tr w:rsidR="00460503" w:rsidRPr="00DF4EE2" w:rsidTr="003917FE">
        <w:trPr>
          <w:trHeight w:val="124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reclamaţii administrative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1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reclamaţii administrative soluţionate favorabil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plângeri în instanţă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hotărâri judecătorești definitive și irevocabile pronunțate în favoarea petentului, ca urmare a plângerilor având ca obiect comunicarea de informații de interes public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4D61B7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Numărul de sancţiuni dispuse pentru încălcarea obligaţiilor legale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5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D61B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  <w:r w:rsidR="00C205AD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12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C205AD" w:rsidP="004D61B7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>1</w:t>
            </w:r>
            <w:r w:rsidR="004D61B7">
              <w:rPr>
                <w:rFonts w:ascii="Trebuchet MS" w:hAnsi="Trebuchet MS"/>
                <w:sz w:val="22"/>
                <w:szCs w:val="22"/>
                <w:lang w:eastAsia="en-US"/>
              </w:rPr>
              <w:t>0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. </w:t>
            </w:r>
            <w:r w:rsidR="004D61B7" w:rsidRPr="004D61B7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Gradul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cunoaştere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către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angajaţi</w:t>
            </w:r>
            <w:proofErr w:type="spellEnd"/>
            <w:r w:rsid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lastRenderedPageBreak/>
              <w:t>normelor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privind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accesul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informații</w:t>
            </w:r>
            <w:proofErr w:type="spellEnd"/>
            <w:r w:rsid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de </w:t>
            </w:r>
            <w:proofErr w:type="spellStart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>interes</w:t>
            </w:r>
            <w:proofErr w:type="spellEnd"/>
            <w:r w:rsidR="004D61B7" w:rsidRPr="004D61B7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public</w:t>
            </w:r>
            <w:r w:rsidR="00A47358">
              <w:rPr>
                <w:rFonts w:ascii="Trebuchet MS" w:hAnsi="Trebuchet MS"/>
                <w:sz w:val="22"/>
                <w:szCs w:val="22"/>
                <w:lang w:val="en-US" w:eastAsia="en-US"/>
              </w:rPr>
              <w:t xml:space="preserve"> </w:t>
            </w:r>
            <w:r w:rsidR="00A47358" w:rsidRPr="000A62D9">
              <w:rPr>
                <w:rFonts w:ascii="Trebuchet MS" w:hAnsi="Trebuchet MS"/>
                <w:sz w:val="22"/>
                <w:szCs w:val="22"/>
              </w:rPr>
              <w:t>(chestionare de evaluare)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lastRenderedPageBreak/>
              <w:t>100%</w:t>
            </w:r>
          </w:p>
        </w:tc>
      </w:tr>
      <w:tr w:rsidR="00460503" w:rsidRPr="00DF4EE2" w:rsidTr="003917FE">
        <w:trPr>
          <w:trHeight w:val="273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lastRenderedPageBreak/>
              <w:t>9.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Protecţia avertizorului de integritate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381044" w:rsidRPr="00381044" w:rsidRDefault="00381044" w:rsidP="00381044">
            <w:pPr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protecţia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avertizorilor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public</w:t>
            </w:r>
          </w:p>
          <w:p w:rsidR="00460503" w:rsidRPr="000A62D9" w:rsidRDefault="00381044" w:rsidP="0038104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Legislaţia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transpunere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>Directivei</w:t>
            </w:r>
            <w:proofErr w:type="spellEnd"/>
            <w:r w:rsidRPr="00381044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1937)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4F770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 xml:space="preserve">Număr de </w:t>
            </w:r>
            <w:r w:rsidR="004F770A">
              <w:rPr>
                <w:rFonts w:ascii="Trebuchet MS" w:hAnsi="Trebuchet MS"/>
                <w:sz w:val="22"/>
                <w:szCs w:val="22"/>
              </w:rPr>
              <w:t>raportări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2B176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4F770A" w:rsidRPr="004F770A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Numărul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investigații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>
              <w:rPr>
                <w:rFonts w:ascii="Trebuchet MS" w:hAnsi="Trebuchet MS"/>
                <w:sz w:val="22"/>
                <w:szCs w:val="22"/>
                <w:lang w:val="en-US"/>
              </w:rPr>
              <w:t>procedur</w:t>
            </w:r>
            <w:r w:rsidR="002B1765">
              <w:rPr>
                <w:rFonts w:ascii="Trebuchet MS" w:hAnsi="Trebuchet MS"/>
                <w:sz w:val="22"/>
                <w:szCs w:val="22"/>
                <w:lang w:val="en-US"/>
              </w:rPr>
              <w:t>i</w:t>
            </w:r>
            <w:proofErr w:type="spellEnd"/>
            <w:r w:rsid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inițiate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ca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urmare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acestor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raportări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rezultatul</w:t>
            </w:r>
            <w:proofErr w:type="spellEnd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770A" w:rsidRPr="004F770A">
              <w:rPr>
                <w:rFonts w:ascii="Trebuchet MS" w:hAnsi="Trebuchet MS"/>
                <w:sz w:val="22"/>
                <w:szCs w:val="22"/>
                <w:lang w:val="en-US"/>
              </w:rPr>
              <w:t>acestora</w:t>
            </w:r>
            <w:proofErr w:type="spellEnd"/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F770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9D32AB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situaţii de represalii la locul de munca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1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F770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9D32AB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plângeri depuse in instanţă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4F770A" w:rsidP="004F770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9D32AB">
              <w:rPr>
                <w:rFonts w:ascii="Trebuchet MS" w:hAnsi="Trebuchet MS"/>
                <w:sz w:val="22"/>
                <w:szCs w:val="22"/>
              </w:rPr>
              <w:t>.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Prejudiciul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financiar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estimat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sumele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recuperate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urma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investigațiilor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și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procedurilor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referitoare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încălcările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raportate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cazul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sunt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confirmate</w:t>
            </w:r>
            <w:proofErr w:type="spellEnd"/>
            <w:r w:rsidRPr="004F770A">
              <w:rPr>
                <w:rFonts w:ascii="Trebuchet MS" w:hAnsi="Trebuchet MS"/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26717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</w:t>
            </w:r>
            <w:r w:rsidR="009D32AB">
              <w:rPr>
                <w:rFonts w:ascii="Trebuchet MS" w:hAnsi="Trebuchet MS"/>
                <w:sz w:val="22"/>
                <w:szCs w:val="22"/>
              </w:rPr>
              <w:t xml:space="preserve">. 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Număr de persoane care au fost instruite prin intermediul acţiunilor de formare profesională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460503" w:rsidP="00465C8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A62D9">
              <w:rPr>
                <w:rFonts w:ascii="Trebuchet MS" w:hAnsi="Trebuchet MS"/>
                <w:sz w:val="22"/>
                <w:szCs w:val="22"/>
              </w:rPr>
              <w:t>1</w:t>
            </w:r>
            <w:r w:rsidR="00465C8E">
              <w:rPr>
                <w:rFonts w:ascii="Trebuchet MS" w:hAnsi="Trebuchet MS"/>
                <w:sz w:val="22"/>
                <w:szCs w:val="22"/>
              </w:rPr>
              <w:t>0</w:t>
            </w:r>
            <w:r w:rsidRPr="000A62D9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Interdicţii după încheierea angajării în cadrul instituţiilor publice</w:t>
            </w:r>
          </w:p>
          <w:p w:rsidR="00460503" w:rsidRPr="000A62D9" w:rsidRDefault="008C176F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</w:t>
            </w:r>
            <w:r w:rsidR="00460503" w:rsidRPr="009D32AB">
              <w:rPr>
                <w:rFonts w:ascii="Trebuchet MS" w:hAnsi="Trebuchet MS"/>
                <w:b/>
                <w:sz w:val="22"/>
                <w:szCs w:val="22"/>
              </w:rPr>
              <w:t>antouflage)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161/2003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unele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asigurarea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transparenţei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exercitarea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demnităţilor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funcţiilor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mediul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afaceri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corupţiei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modificările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completările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ulterioare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[art. 94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. (3)]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Ordonanţa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urgenţă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Guvernului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66/2011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prevenirea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constatarea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sancţionarea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neregulilor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apărute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obţinerea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utilizarea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fondurilor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europene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/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sau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fondurilor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naţionale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aferente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acestora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[art. 13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. (1)]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98/2016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achizițiile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publice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Secțiunea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4-a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Reguli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evitare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conflictului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</w:t>
            </w:r>
          </w:p>
          <w:p w:rsid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interese</w:t>
            </w:r>
            <w:proofErr w:type="spellEnd"/>
            <w:proofErr w:type="gram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 art. 61]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99/2016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achizițiile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sectoriale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Secțiunea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4-a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Reguli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evitare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conflictului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interese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 la art. 74]</w:t>
            </w:r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672/2002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auditul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public intern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lastRenderedPageBreak/>
              <w:t xml:space="preserve">[art. 22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. (5)]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Legea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nr. 100/2016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concesiunile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lucrări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concesiunile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servicii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[art. 45]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O.U.G. nr. 87/2020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privind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organizarea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și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funcționarea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Corpului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 control al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primministrului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,</w:t>
            </w:r>
          </w:p>
          <w:p w:rsidR="00465C8E" w:rsidRPr="00465C8E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precum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şi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instituirea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unor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măsuri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de</w:t>
            </w:r>
          </w:p>
          <w:p w:rsidR="00460503" w:rsidRPr="000A62D9" w:rsidRDefault="00465C8E" w:rsidP="00465C8E">
            <w:pPr>
              <w:spacing w:after="12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proofErr w:type="gram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îmbunătățire</w:t>
            </w:r>
            <w:proofErr w:type="spellEnd"/>
            <w:proofErr w:type="gram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activității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acestuia</w:t>
            </w:r>
            <w:proofErr w:type="spellEnd"/>
            <w:r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</w:t>
            </w:r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[art. 7 </w:t>
            </w:r>
            <w:proofErr w:type="spellStart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>alin</w:t>
            </w:r>
            <w:proofErr w:type="spellEnd"/>
            <w:r w:rsidRPr="00465C8E">
              <w:rPr>
                <w:rFonts w:ascii="Trebuchet MS" w:hAnsi="Trebuchet MS"/>
                <w:i/>
                <w:sz w:val="22"/>
                <w:szCs w:val="22"/>
                <w:lang w:val="en-US"/>
              </w:rPr>
              <w:t xml:space="preserve"> (3)].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 xml:space="preserve">1. </w:t>
            </w:r>
            <w:r w:rsidR="008B4105" w:rsidRPr="008B410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încălcări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regimului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legal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62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B410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8B4105" w:rsidRPr="008B410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solicitări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către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instanța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judecată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anularea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contractului</w:t>
            </w:r>
            <w:proofErr w:type="spellEnd"/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finanţare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caz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încălcare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gram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</w:t>
            </w:r>
            <w:proofErr w:type="gram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art. 13</w:t>
            </w:r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alin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. (1)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68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B4105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  <w:r w:rsidR="008B4105" w:rsidRPr="008B4105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Număr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sancţiuni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aplicate</w:t>
            </w:r>
            <w:proofErr w:type="spellEnd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către</w:t>
            </w:r>
            <w:proofErr w:type="spellEnd"/>
            <w:r w:rsidR="008B4105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B4105" w:rsidRPr="008B4105">
              <w:rPr>
                <w:rFonts w:ascii="Trebuchet MS" w:hAnsi="Trebuchet MS"/>
                <w:sz w:val="22"/>
                <w:szCs w:val="22"/>
                <w:lang w:val="en-US"/>
              </w:rPr>
              <w:t>instanţe</w:t>
            </w:r>
            <w:proofErr w:type="spellEnd"/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</w:tr>
      <w:tr w:rsidR="00460503" w:rsidRPr="00DF4EE2" w:rsidTr="003917FE">
        <w:trPr>
          <w:trHeight w:val="475"/>
        </w:trPr>
        <w:tc>
          <w:tcPr>
            <w:tcW w:w="540" w:type="dxa"/>
            <w:vMerge w:val="restart"/>
            <w:shd w:val="clear" w:color="auto" w:fill="auto"/>
          </w:tcPr>
          <w:p w:rsidR="00460503" w:rsidRPr="000A62D9" w:rsidRDefault="008B4105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11</w:t>
            </w:r>
            <w:r w:rsidR="00460503" w:rsidRPr="000A62D9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60503" w:rsidRPr="009D32AB" w:rsidRDefault="00460503" w:rsidP="00585C04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D32AB">
              <w:rPr>
                <w:rFonts w:ascii="Trebuchet MS" w:hAnsi="Trebuchet MS"/>
                <w:b/>
                <w:sz w:val="22"/>
                <w:szCs w:val="22"/>
              </w:rPr>
              <w:t>Funcțiile sensibile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60503" w:rsidRPr="000A62D9" w:rsidRDefault="00460503" w:rsidP="0080053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B6C0B">
              <w:rPr>
                <w:rFonts w:ascii="Trebuchet MS" w:hAnsi="Trebuchet MS"/>
                <w:i/>
                <w:sz w:val="22"/>
                <w:szCs w:val="22"/>
              </w:rPr>
              <w:t xml:space="preserve">Ordinul SGG nr. 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>600/2018</w:t>
            </w:r>
            <w:r w:rsidRPr="00FB6C0B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>privind</w:t>
            </w:r>
            <w:r w:rsidRPr="00FB6C0B">
              <w:rPr>
                <w:rFonts w:ascii="Trebuchet MS" w:hAnsi="Trebuchet MS"/>
                <w:i/>
                <w:sz w:val="22"/>
                <w:szCs w:val="22"/>
              </w:rPr>
              <w:t xml:space="preserve"> aprob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 xml:space="preserve">area Codului controlului intern </w:t>
            </w:r>
            <w:r w:rsidRPr="00FB6C0B">
              <w:rPr>
                <w:rFonts w:ascii="Trebuchet MS" w:hAnsi="Trebuchet MS"/>
                <w:i/>
                <w:sz w:val="22"/>
                <w:szCs w:val="22"/>
              </w:rPr>
              <w:t>man</w:t>
            </w:r>
            <w:r w:rsidR="0080053A">
              <w:rPr>
                <w:rFonts w:ascii="Trebuchet MS" w:hAnsi="Trebuchet MS"/>
                <w:i/>
                <w:sz w:val="22"/>
                <w:szCs w:val="22"/>
              </w:rPr>
              <w:t>agerial al entităților publice</w:t>
            </w: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B4105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1. </w:t>
            </w:r>
            <w:r w:rsidR="00460503" w:rsidRPr="000A62D9">
              <w:rPr>
                <w:rFonts w:ascii="Trebuchet MS" w:hAnsi="Trebuchet MS"/>
                <w:iCs/>
                <w:sz w:val="22"/>
                <w:szCs w:val="22"/>
              </w:rPr>
              <w:t xml:space="preserve">Număr funcţii sensibile identificate 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8</w:t>
            </w:r>
          </w:p>
        </w:tc>
      </w:tr>
      <w:tr w:rsidR="00460503" w:rsidRPr="00DF4EE2" w:rsidTr="003917FE">
        <w:trPr>
          <w:trHeight w:val="943"/>
        </w:trPr>
        <w:tc>
          <w:tcPr>
            <w:tcW w:w="54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60503" w:rsidRPr="000A62D9" w:rsidRDefault="00460503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60503" w:rsidRPr="000A62D9" w:rsidRDefault="009D32AB" w:rsidP="0080053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3. </w:t>
            </w:r>
            <w:r w:rsidR="00460503" w:rsidRPr="000A62D9">
              <w:rPr>
                <w:rFonts w:ascii="Trebuchet MS" w:hAnsi="Trebuchet MS"/>
                <w:iCs/>
                <w:sz w:val="22"/>
                <w:szCs w:val="22"/>
              </w:rPr>
              <w:t>Număr măsuri de control adecvate şi suficiente  pentru administrarea şi gestionarea funcţiilor sensibile</w:t>
            </w:r>
          </w:p>
        </w:tc>
        <w:tc>
          <w:tcPr>
            <w:tcW w:w="1440" w:type="dxa"/>
            <w:vAlign w:val="center"/>
          </w:tcPr>
          <w:p w:rsidR="00460503" w:rsidRPr="000A62D9" w:rsidRDefault="002B1765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7</w:t>
            </w:r>
          </w:p>
        </w:tc>
      </w:tr>
      <w:tr w:rsidR="00EE79BA" w:rsidRPr="00DF4EE2" w:rsidTr="003917FE">
        <w:trPr>
          <w:trHeight w:val="409"/>
        </w:trPr>
        <w:tc>
          <w:tcPr>
            <w:tcW w:w="540" w:type="dxa"/>
            <w:vMerge w:val="restart"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Evaluarea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riscurilor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în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autorităţilor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instituţiilor</w:t>
            </w:r>
            <w:proofErr w:type="spellEnd"/>
          </w:p>
          <w:p w:rsidR="00EE79BA" w:rsidRPr="00EE79BA" w:rsidRDefault="00EE79BA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și</w:t>
            </w:r>
            <w:proofErr w:type="spellEnd"/>
          </w:p>
          <w:p w:rsidR="00EE79BA" w:rsidRPr="000A62D9" w:rsidRDefault="00EE79BA" w:rsidP="00EE79BA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locale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EE79BA" w:rsidRPr="00EE79BA" w:rsidRDefault="00EE79BA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Hotărârea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nr. 599/2018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standard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i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ndicatorii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probabilităţii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indicatorii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impactului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situaţia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materializării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registrului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precum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</w:p>
          <w:p w:rsidR="00EE79BA" w:rsidRPr="000A62D9" w:rsidRDefault="00EE79BA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,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raportului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anual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EE79BA" w:rsidRDefault="00EE79BA" w:rsidP="00585C04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1.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riscuri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identificate</w:t>
            </w:r>
            <w:proofErr w:type="spellEnd"/>
          </w:p>
        </w:tc>
        <w:tc>
          <w:tcPr>
            <w:tcW w:w="1440" w:type="dxa"/>
            <w:vAlign w:val="center"/>
          </w:tcPr>
          <w:p w:rsidR="00EE79BA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1</w:t>
            </w:r>
          </w:p>
        </w:tc>
      </w:tr>
      <w:tr w:rsidR="00EE79BA" w:rsidRPr="00DF4EE2" w:rsidTr="003917FE">
        <w:trPr>
          <w:trHeight w:val="1350"/>
        </w:trPr>
        <w:tc>
          <w:tcPr>
            <w:tcW w:w="540" w:type="dxa"/>
            <w:vMerge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EE79BA" w:rsidRPr="000A62D9" w:rsidRDefault="00EE79BA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EE79BA" w:rsidRDefault="00EE79BA" w:rsidP="00585C04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2. </w:t>
            </w:r>
            <w:proofErr w:type="spellStart"/>
            <w:r w:rsidR="004241E2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="004241E2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m</w:t>
            </w:r>
            <w:r w:rsidR="004241E2">
              <w:rPr>
                <w:rFonts w:ascii="Trebuchet MS" w:hAnsi="Trebuchet MS"/>
                <w:iCs/>
                <w:sz w:val="22"/>
                <w:szCs w:val="22"/>
              </w:rPr>
              <w:t>ă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suri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intervenţie</w:t>
            </w:r>
            <w:proofErr w:type="spellEnd"/>
          </w:p>
        </w:tc>
        <w:tc>
          <w:tcPr>
            <w:tcW w:w="1440" w:type="dxa"/>
            <w:vAlign w:val="center"/>
          </w:tcPr>
          <w:p w:rsidR="00EE79BA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5</w:t>
            </w:r>
          </w:p>
        </w:tc>
      </w:tr>
      <w:tr w:rsidR="004241E2" w:rsidRPr="00DF4EE2" w:rsidTr="003917F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13.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Evaluarea</w:t>
            </w:r>
            <w:proofErr w:type="spellEnd"/>
          </w:p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incidentelor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deintegritate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cadrul</w:t>
            </w:r>
            <w:proofErr w:type="spellEnd"/>
          </w:p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şi</w:t>
            </w:r>
            <w:proofErr w:type="spellEnd"/>
          </w:p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lastRenderedPageBreak/>
              <w:t>instituţiilor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publice</w:t>
            </w:r>
            <w:proofErr w:type="spellEnd"/>
          </w:p>
          <w:p w:rsidR="004241E2" w:rsidRPr="000A62D9" w:rsidRDefault="004241E2" w:rsidP="00EE79BA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>și</w:t>
            </w:r>
            <w:proofErr w:type="spellEnd"/>
            <w:r w:rsidRPr="00EE79BA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 locale</w:t>
            </w:r>
          </w:p>
        </w:tc>
        <w:tc>
          <w:tcPr>
            <w:tcW w:w="5490" w:type="dxa"/>
            <w:vMerge w:val="restart"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lastRenderedPageBreak/>
              <w:t>Hotărârea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nr. 599/2018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standard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i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ndicatorii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probabilităţii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lastRenderedPageBreak/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indicatorii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estimare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impactului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Helvetica" w:eastAsia="MS Mincho" w:hAnsi="Helvetica" w:cs="Helvetica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situaţia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materializării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registrului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riscurilor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corupţie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precum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</w:p>
          <w:p w:rsidR="004241E2" w:rsidRPr="000A62D9" w:rsidRDefault="004241E2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pentru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aprobarea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Metodologiei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în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cadrul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autorităţilor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instituţiilor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publice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centrale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,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împreună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formatul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raportului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anual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evaluare</w:t>
            </w:r>
            <w:proofErr w:type="spellEnd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incidentelor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EE79BA">
              <w:rPr>
                <w:rFonts w:ascii="Trebuchet MS" w:hAnsi="Trebuchet MS"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4241E2" w:rsidRDefault="004241E2" w:rsidP="00585C04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incidente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  <w:tr w:rsidR="004241E2" w:rsidRPr="00DF4EE2" w:rsidTr="003917FE">
        <w:trPr>
          <w:trHeight w:val="675"/>
        </w:trPr>
        <w:tc>
          <w:tcPr>
            <w:tcW w:w="540" w:type="dxa"/>
            <w:vMerge/>
            <w:shd w:val="clear" w:color="auto" w:fill="auto"/>
          </w:tcPr>
          <w:p w:rsidR="004241E2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n-US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241E2" w:rsidRPr="00EE79BA" w:rsidRDefault="004241E2" w:rsidP="00EE79BA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tcBorders>
              <w:top w:val="nil"/>
            </w:tcBorders>
            <w:shd w:val="clear" w:color="auto" w:fill="auto"/>
          </w:tcPr>
          <w:p w:rsidR="004241E2" w:rsidRDefault="004241E2" w:rsidP="00EE79B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2.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persoanelor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funcții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conducere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săvârşit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incidente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  <w:tr w:rsidR="004241E2" w:rsidRPr="00DF4EE2" w:rsidTr="003917FE">
        <w:trPr>
          <w:trHeight w:val="603"/>
        </w:trPr>
        <w:tc>
          <w:tcPr>
            <w:tcW w:w="54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241E2" w:rsidRDefault="004241E2" w:rsidP="00EE79B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3. </w:t>
            </w:r>
            <w:proofErr w:type="spellStart"/>
            <w:r w:rsidRPr="00446821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persoanelor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funcţii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execuţie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săvârşit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incidente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integritate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  <w:tr w:rsidR="004241E2" w:rsidRPr="00DF4EE2" w:rsidTr="003917FE">
        <w:trPr>
          <w:trHeight w:val="603"/>
        </w:trPr>
        <w:tc>
          <w:tcPr>
            <w:tcW w:w="54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4241E2" w:rsidRPr="000A62D9" w:rsidRDefault="004241E2" w:rsidP="00585C04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4241E2" w:rsidRDefault="004241E2" w:rsidP="00EE79BA">
            <w:pPr>
              <w:spacing w:line="276" w:lineRule="auto"/>
              <w:jc w:val="both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 xml:space="preserve">4.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măsuri</w:t>
            </w:r>
            <w:proofErr w:type="spellEnd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de control</w:t>
            </w:r>
            <w:r>
              <w:rPr>
                <w:rFonts w:ascii="Trebuchet MS" w:hAnsi="Trebuchet MS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9BA">
              <w:rPr>
                <w:rFonts w:ascii="Trebuchet MS" w:hAnsi="Trebuchet MS"/>
                <w:iCs/>
                <w:sz w:val="22"/>
                <w:szCs w:val="22"/>
                <w:lang w:val="en-US"/>
              </w:rPr>
              <w:t>implementate</w:t>
            </w:r>
            <w:proofErr w:type="spellEnd"/>
          </w:p>
        </w:tc>
        <w:tc>
          <w:tcPr>
            <w:tcW w:w="1440" w:type="dxa"/>
            <w:vAlign w:val="center"/>
          </w:tcPr>
          <w:p w:rsidR="004241E2" w:rsidRPr="000A62D9" w:rsidRDefault="0008773B" w:rsidP="003917FE">
            <w:pPr>
              <w:spacing w:line="276" w:lineRule="auto"/>
              <w:jc w:val="center"/>
              <w:rPr>
                <w:rFonts w:ascii="Trebuchet MS" w:hAnsi="Trebuchet MS"/>
                <w:iCs/>
                <w:sz w:val="22"/>
                <w:szCs w:val="22"/>
              </w:rPr>
            </w:pPr>
            <w:r>
              <w:rPr>
                <w:rFonts w:ascii="Trebuchet MS" w:hAnsi="Trebuchet MS"/>
                <w:iCs/>
                <w:sz w:val="22"/>
                <w:szCs w:val="22"/>
              </w:rPr>
              <w:t>0</w:t>
            </w:r>
          </w:p>
        </w:tc>
      </w:tr>
    </w:tbl>
    <w:p w:rsidR="00CD5B3B" w:rsidRDefault="00585C04" w:rsidP="00CD5B3B">
      <w:r>
        <w:lastRenderedPageBreak/>
        <w:br w:type="textWrapping" w:clear="all"/>
      </w:r>
    </w:p>
    <w:p w:rsidR="000344AC" w:rsidRDefault="000344AC" w:rsidP="00CD5B3B"/>
    <w:p w:rsidR="000344AC" w:rsidRPr="000344AC" w:rsidRDefault="000344AC" w:rsidP="00CD5B3B">
      <w:pPr>
        <w:rPr>
          <w:rFonts w:ascii="Trebuchet MS" w:hAnsi="Trebuchet MS"/>
          <w:b/>
        </w:rPr>
      </w:pPr>
      <w:r w:rsidRPr="000344AC">
        <w:rPr>
          <w:rFonts w:ascii="Trebuchet MS" w:hAnsi="Trebuchet MS"/>
          <w:b/>
        </w:rPr>
        <w:t>Inspector Șef</w:t>
      </w:r>
    </w:p>
    <w:p w:rsidR="000344AC" w:rsidRPr="000344AC" w:rsidRDefault="000344AC" w:rsidP="00CD5B3B">
      <w:pPr>
        <w:rPr>
          <w:rFonts w:ascii="Trebuchet MS" w:hAnsi="Trebuchet MS"/>
          <w:b/>
        </w:rPr>
      </w:pPr>
    </w:p>
    <w:p w:rsidR="000344AC" w:rsidRDefault="000344AC" w:rsidP="00CD5B3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Tr</w:t>
      </w:r>
      <w:r w:rsidRPr="000344AC">
        <w:rPr>
          <w:rFonts w:ascii="Trebuchet MS" w:hAnsi="Trebuchet MS"/>
          <w:b/>
        </w:rPr>
        <w:t>andafir Bogdan Marius</w:t>
      </w:r>
    </w:p>
    <w:p w:rsidR="00CA5402" w:rsidRDefault="00CA5402" w:rsidP="00CD5B3B">
      <w:pPr>
        <w:rPr>
          <w:rFonts w:ascii="Trebuchet MS" w:hAnsi="Trebuchet MS"/>
          <w:b/>
        </w:rPr>
      </w:pPr>
    </w:p>
    <w:p w:rsidR="00CA5402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Întocmit</w:t>
      </w:r>
    </w:p>
    <w:p w:rsidR="00CA5402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</w:t>
      </w:r>
    </w:p>
    <w:p w:rsidR="00CA5402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Nica Florica Genoveva</w:t>
      </w:r>
    </w:p>
    <w:p w:rsidR="00CA5402" w:rsidRPr="00736BFF" w:rsidRDefault="00CA5402" w:rsidP="00CA54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Consilier integritate</w:t>
      </w:r>
    </w:p>
    <w:p w:rsidR="00CA5402" w:rsidRPr="000344AC" w:rsidRDefault="00CA5402" w:rsidP="00CD5B3B">
      <w:pPr>
        <w:rPr>
          <w:rFonts w:ascii="Trebuchet MS" w:hAnsi="Trebuchet MS"/>
          <w:b/>
        </w:rPr>
      </w:pPr>
    </w:p>
    <w:sectPr w:rsidR="00CA5402" w:rsidRPr="000344AC" w:rsidSect="0072676B">
      <w:headerReference w:type="default" r:id="rId8"/>
      <w:footerReference w:type="default" r:id="rId9"/>
      <w:footerReference w:type="first" r:id="rId10"/>
      <w:pgSz w:w="16840" w:h="11900" w:orient="landscape"/>
      <w:pgMar w:top="567" w:right="822" w:bottom="560" w:left="1702" w:header="567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21" w:rsidRDefault="00B47421" w:rsidP="00CD5B3B">
      <w:r>
        <w:separator/>
      </w:r>
    </w:p>
  </w:endnote>
  <w:endnote w:type="continuationSeparator" w:id="0">
    <w:p w:rsidR="00B47421" w:rsidRDefault="00B47421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84" w:rsidRPr="00682598" w:rsidRDefault="000E5384" w:rsidP="00585C04">
    <w:pPr>
      <w:pStyle w:val="Footer"/>
      <w:ind w:left="1701"/>
      <w:rPr>
        <w:sz w:val="14"/>
        <w:szCs w:val="14"/>
        <w:lang w:val="fr-FR"/>
      </w:rPr>
    </w:pPr>
  </w:p>
  <w:p w:rsidR="000E5384" w:rsidRPr="00682598" w:rsidRDefault="000E5384" w:rsidP="00585C04">
    <w:pPr>
      <w:pStyle w:val="Footer"/>
      <w:ind w:left="1701"/>
      <w:rPr>
        <w:sz w:val="14"/>
        <w:szCs w:val="14"/>
        <w:lang w:val="fr-FR"/>
      </w:rPr>
    </w:pPr>
  </w:p>
  <w:p w:rsidR="000E5384" w:rsidRPr="00D06E9C" w:rsidRDefault="000E5384" w:rsidP="00D06E9C">
    <w:pPr>
      <w:pStyle w:val="Footer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84" w:rsidRPr="00682598" w:rsidRDefault="000E5384" w:rsidP="0072676B">
    <w:pPr>
      <w:pStyle w:val="Footer"/>
      <w:rPr>
        <w:sz w:val="14"/>
        <w:szCs w:val="14"/>
        <w:lang w:val="fr-FR"/>
      </w:rPr>
    </w:pPr>
  </w:p>
  <w:p w:rsidR="000E5384" w:rsidRPr="00585C04" w:rsidRDefault="000E5384" w:rsidP="00585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21" w:rsidRDefault="00B47421" w:rsidP="00CD5B3B">
      <w:r>
        <w:separator/>
      </w:r>
    </w:p>
  </w:footnote>
  <w:footnote w:type="continuationSeparator" w:id="0">
    <w:p w:rsidR="00B47421" w:rsidRDefault="00B47421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84" w:rsidRPr="00CD5B3B" w:rsidRDefault="000E5384" w:rsidP="00585C04">
    <w:pPr>
      <w:pStyle w:val="Header"/>
      <w:tabs>
        <w:tab w:val="clear" w:pos="4320"/>
        <w:tab w:val="clear" w:pos="8640"/>
        <w:tab w:val="left" w:pos="462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4F0"/>
    <w:multiLevelType w:val="hybridMultilevel"/>
    <w:tmpl w:val="7406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D45D8"/>
    <w:multiLevelType w:val="hybridMultilevel"/>
    <w:tmpl w:val="61F0B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62C9"/>
    <w:multiLevelType w:val="hybridMultilevel"/>
    <w:tmpl w:val="2560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F47C1"/>
    <w:multiLevelType w:val="hybridMultilevel"/>
    <w:tmpl w:val="12C80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930C0"/>
    <w:multiLevelType w:val="hybridMultilevel"/>
    <w:tmpl w:val="F56E3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F31A9"/>
    <w:multiLevelType w:val="hybridMultilevel"/>
    <w:tmpl w:val="9F9C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1711"/>
    <w:multiLevelType w:val="hybridMultilevel"/>
    <w:tmpl w:val="1CAA0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A2C55"/>
    <w:multiLevelType w:val="hybridMultilevel"/>
    <w:tmpl w:val="CFEAF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801C4"/>
    <w:multiLevelType w:val="hybridMultilevel"/>
    <w:tmpl w:val="C78E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77A54"/>
    <w:multiLevelType w:val="hybridMultilevel"/>
    <w:tmpl w:val="9C5AD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9A"/>
    <w:multiLevelType w:val="hybridMultilevel"/>
    <w:tmpl w:val="4C8CF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63DD"/>
    <w:rsid w:val="000344AC"/>
    <w:rsid w:val="0003646B"/>
    <w:rsid w:val="0008427A"/>
    <w:rsid w:val="0008773B"/>
    <w:rsid w:val="000A49FF"/>
    <w:rsid w:val="000A62D9"/>
    <w:rsid w:val="000C4ACC"/>
    <w:rsid w:val="000D32D8"/>
    <w:rsid w:val="000E5384"/>
    <w:rsid w:val="00100F36"/>
    <w:rsid w:val="0011567F"/>
    <w:rsid w:val="00144BB9"/>
    <w:rsid w:val="001A5592"/>
    <w:rsid w:val="001C696A"/>
    <w:rsid w:val="0024404B"/>
    <w:rsid w:val="002603C2"/>
    <w:rsid w:val="00267B05"/>
    <w:rsid w:val="002A5742"/>
    <w:rsid w:val="002B1765"/>
    <w:rsid w:val="003070E3"/>
    <w:rsid w:val="003262A2"/>
    <w:rsid w:val="00346C09"/>
    <w:rsid w:val="00365A38"/>
    <w:rsid w:val="00381044"/>
    <w:rsid w:val="003917FE"/>
    <w:rsid w:val="00392DAB"/>
    <w:rsid w:val="003C4D1B"/>
    <w:rsid w:val="003D125A"/>
    <w:rsid w:val="003D39BC"/>
    <w:rsid w:val="003D4037"/>
    <w:rsid w:val="003E45AA"/>
    <w:rsid w:val="004241E2"/>
    <w:rsid w:val="004248E8"/>
    <w:rsid w:val="00431EEE"/>
    <w:rsid w:val="00446821"/>
    <w:rsid w:val="00453A93"/>
    <w:rsid w:val="00460503"/>
    <w:rsid w:val="00461FCA"/>
    <w:rsid w:val="00465C8E"/>
    <w:rsid w:val="00475BC0"/>
    <w:rsid w:val="00493AD5"/>
    <w:rsid w:val="004A5138"/>
    <w:rsid w:val="004D61B7"/>
    <w:rsid w:val="004F770A"/>
    <w:rsid w:val="00585C04"/>
    <w:rsid w:val="005D6BC9"/>
    <w:rsid w:val="005E6FFA"/>
    <w:rsid w:val="005F752B"/>
    <w:rsid w:val="00667BB8"/>
    <w:rsid w:val="006721B0"/>
    <w:rsid w:val="00695ABB"/>
    <w:rsid w:val="00695B59"/>
    <w:rsid w:val="006A263E"/>
    <w:rsid w:val="006B528B"/>
    <w:rsid w:val="006B6A21"/>
    <w:rsid w:val="006C30E1"/>
    <w:rsid w:val="006D0944"/>
    <w:rsid w:val="006F3E44"/>
    <w:rsid w:val="0071656A"/>
    <w:rsid w:val="00722BEC"/>
    <w:rsid w:val="0072676B"/>
    <w:rsid w:val="007404CF"/>
    <w:rsid w:val="007606FD"/>
    <w:rsid w:val="00766E0E"/>
    <w:rsid w:val="007725B3"/>
    <w:rsid w:val="007A1B39"/>
    <w:rsid w:val="007B1EFD"/>
    <w:rsid w:val="007D4B61"/>
    <w:rsid w:val="007E6918"/>
    <w:rsid w:val="0080053A"/>
    <w:rsid w:val="00825FE9"/>
    <w:rsid w:val="00830083"/>
    <w:rsid w:val="00831BB5"/>
    <w:rsid w:val="00864EB6"/>
    <w:rsid w:val="008765C5"/>
    <w:rsid w:val="00887FE3"/>
    <w:rsid w:val="008A2AC0"/>
    <w:rsid w:val="008A325C"/>
    <w:rsid w:val="008B4105"/>
    <w:rsid w:val="008C176F"/>
    <w:rsid w:val="008D3496"/>
    <w:rsid w:val="00900342"/>
    <w:rsid w:val="00915096"/>
    <w:rsid w:val="00926717"/>
    <w:rsid w:val="009370C2"/>
    <w:rsid w:val="00964114"/>
    <w:rsid w:val="00974874"/>
    <w:rsid w:val="009B79B4"/>
    <w:rsid w:val="009D32AB"/>
    <w:rsid w:val="00A26C3D"/>
    <w:rsid w:val="00A305F4"/>
    <w:rsid w:val="00A47358"/>
    <w:rsid w:val="00A758EE"/>
    <w:rsid w:val="00A845CD"/>
    <w:rsid w:val="00AA6FBB"/>
    <w:rsid w:val="00AE26B4"/>
    <w:rsid w:val="00B00029"/>
    <w:rsid w:val="00B13BB4"/>
    <w:rsid w:val="00B165F3"/>
    <w:rsid w:val="00B22301"/>
    <w:rsid w:val="00B47421"/>
    <w:rsid w:val="00B6009E"/>
    <w:rsid w:val="00B6774E"/>
    <w:rsid w:val="00B75A88"/>
    <w:rsid w:val="00B9152C"/>
    <w:rsid w:val="00BD6A85"/>
    <w:rsid w:val="00C046B9"/>
    <w:rsid w:val="00C05F49"/>
    <w:rsid w:val="00C205AD"/>
    <w:rsid w:val="00C20EF1"/>
    <w:rsid w:val="00CA5387"/>
    <w:rsid w:val="00CA5402"/>
    <w:rsid w:val="00CC691A"/>
    <w:rsid w:val="00CD0C6C"/>
    <w:rsid w:val="00CD0F06"/>
    <w:rsid w:val="00CD5B3B"/>
    <w:rsid w:val="00CE5F08"/>
    <w:rsid w:val="00CF246B"/>
    <w:rsid w:val="00D06E9C"/>
    <w:rsid w:val="00D15CD4"/>
    <w:rsid w:val="00D86F1D"/>
    <w:rsid w:val="00D9002C"/>
    <w:rsid w:val="00D90C01"/>
    <w:rsid w:val="00DA319D"/>
    <w:rsid w:val="00DB152D"/>
    <w:rsid w:val="00DE0615"/>
    <w:rsid w:val="00DE5E16"/>
    <w:rsid w:val="00E01EEC"/>
    <w:rsid w:val="00E267C8"/>
    <w:rsid w:val="00E42A58"/>
    <w:rsid w:val="00E562FC"/>
    <w:rsid w:val="00EA046A"/>
    <w:rsid w:val="00EA0F6C"/>
    <w:rsid w:val="00EA4521"/>
    <w:rsid w:val="00EC68F3"/>
    <w:rsid w:val="00EE79BA"/>
    <w:rsid w:val="00F2548D"/>
    <w:rsid w:val="00F659E6"/>
    <w:rsid w:val="00F67D20"/>
    <w:rsid w:val="00FB0C95"/>
    <w:rsid w:val="00FB6C0B"/>
    <w:rsid w:val="00FB6D27"/>
    <w:rsid w:val="00FC4284"/>
    <w:rsid w:val="00FD44F3"/>
    <w:rsid w:val="00FE2F2C"/>
    <w:rsid w:val="00FE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60503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D32A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43DD-1A8C-4B3F-BBE8-64427522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</dc:creator>
  <cp:lastModifiedBy>geno</cp:lastModifiedBy>
  <cp:revision>2</cp:revision>
  <cp:lastPrinted>2023-02-10T11:42:00Z</cp:lastPrinted>
  <dcterms:created xsi:type="dcterms:W3CDTF">2025-02-04T13:18:00Z</dcterms:created>
  <dcterms:modified xsi:type="dcterms:W3CDTF">2025-02-04T13:18:00Z</dcterms:modified>
</cp:coreProperties>
</file>