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524F34">
        <w:t>04</w:t>
      </w:r>
      <w:r w:rsidR="00865E2F">
        <w:t>.07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333C18" w:rsidRDefault="00333C18" w:rsidP="00A73DA0">
      <w:pPr>
        <w:ind w:left="993" w:right="324"/>
        <w:jc w:val="both"/>
        <w:rPr>
          <w:sz w:val="24"/>
          <w:szCs w:val="24"/>
        </w:rPr>
      </w:pPr>
    </w:p>
    <w:p w:rsidR="00CC4A98" w:rsidRDefault="00CC4A98" w:rsidP="00A73DA0">
      <w:pPr>
        <w:ind w:left="993" w:right="324"/>
        <w:jc w:val="both"/>
        <w:rPr>
          <w:sz w:val="24"/>
          <w:szCs w:val="24"/>
        </w:rPr>
      </w:pPr>
    </w:p>
    <w:p w:rsidR="00333C18" w:rsidRDefault="0046434A" w:rsidP="00865E2F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 w:rsidR="00257829">
        <w:rPr>
          <w:sz w:val="24"/>
          <w:szCs w:val="24"/>
        </w:rPr>
        <w:t>nspectoratul</w:t>
      </w:r>
      <w:proofErr w:type="spellEnd"/>
      <w:r w:rsidR="0025782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257829">
        <w:rPr>
          <w:sz w:val="24"/>
          <w:szCs w:val="24"/>
        </w:rPr>
        <w:t>eritorial</w:t>
      </w:r>
      <w:proofErr w:type="spellEnd"/>
      <w:r w:rsidR="00257829"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</w:t>
      </w:r>
      <w:r w:rsidR="00257829">
        <w:rPr>
          <w:sz w:val="24"/>
          <w:szCs w:val="24"/>
        </w:rPr>
        <w:t>uncă</w:t>
      </w:r>
      <w:proofErr w:type="spellEnd"/>
      <w:r w:rsidR="00524F34">
        <w:rPr>
          <w:sz w:val="24"/>
          <w:szCs w:val="24"/>
        </w:rPr>
        <w:t xml:space="preserve"> </w:t>
      </w:r>
      <w:proofErr w:type="spellStart"/>
      <w:r w:rsidR="00524F34">
        <w:rPr>
          <w:sz w:val="24"/>
          <w:szCs w:val="24"/>
        </w:rPr>
        <w:t>Gorj</w:t>
      </w:r>
      <w:proofErr w:type="spellEnd"/>
      <w:r w:rsidR="00524F34">
        <w:rPr>
          <w:sz w:val="24"/>
          <w:szCs w:val="24"/>
        </w:rPr>
        <w:t xml:space="preserve"> a </w:t>
      </w:r>
      <w:proofErr w:type="spellStart"/>
      <w:r w:rsidR="00524F34">
        <w:rPr>
          <w:sz w:val="24"/>
          <w:szCs w:val="24"/>
        </w:rPr>
        <w:t>efectuat</w:t>
      </w:r>
      <w:proofErr w:type="spellEnd"/>
      <w:r w:rsidR="00524F34">
        <w:rPr>
          <w:sz w:val="24"/>
          <w:szCs w:val="24"/>
        </w:rPr>
        <w:t xml:space="preserve">, </w:t>
      </w:r>
      <w:proofErr w:type="spellStart"/>
      <w:r w:rsidR="00524F34">
        <w:rPr>
          <w:sz w:val="24"/>
          <w:szCs w:val="24"/>
        </w:rPr>
        <w:t>ieri</w:t>
      </w:r>
      <w:proofErr w:type="spellEnd"/>
      <w:r w:rsidR="00A83229">
        <w:rPr>
          <w:sz w:val="24"/>
          <w:szCs w:val="24"/>
        </w:rPr>
        <w:t>,</w:t>
      </w:r>
      <w:r w:rsidR="00865E2F">
        <w:rPr>
          <w:sz w:val="24"/>
          <w:szCs w:val="24"/>
        </w:rPr>
        <w:t xml:space="preserve"> 3 </w:t>
      </w:r>
      <w:proofErr w:type="spellStart"/>
      <w:r w:rsidR="00865E2F">
        <w:rPr>
          <w:sz w:val="24"/>
          <w:szCs w:val="24"/>
        </w:rPr>
        <w:t>iulie</w:t>
      </w:r>
      <w:proofErr w:type="spellEnd"/>
      <w:r w:rsidR="00865E2F">
        <w:rPr>
          <w:sz w:val="24"/>
          <w:szCs w:val="24"/>
        </w:rPr>
        <w:t xml:space="preserve"> 2019,</w:t>
      </w:r>
      <w:r w:rsidR="00257829">
        <w:rPr>
          <w:sz w:val="24"/>
          <w:szCs w:val="24"/>
        </w:rPr>
        <w:t xml:space="preserve"> </w:t>
      </w:r>
      <w:proofErr w:type="spellStart"/>
      <w:r w:rsidR="00257829">
        <w:rPr>
          <w:sz w:val="24"/>
          <w:szCs w:val="24"/>
        </w:rPr>
        <w:t>în</w:t>
      </w:r>
      <w:proofErr w:type="spellEnd"/>
      <w:r w:rsidR="00257829">
        <w:rPr>
          <w:sz w:val="24"/>
          <w:szCs w:val="24"/>
        </w:rPr>
        <w:t xml:space="preserve"> </w:t>
      </w:r>
      <w:proofErr w:type="spellStart"/>
      <w:r w:rsidR="00257829">
        <w:rPr>
          <w:sz w:val="24"/>
          <w:szCs w:val="24"/>
        </w:rPr>
        <w:t>urma</w:t>
      </w:r>
      <w:proofErr w:type="spellEnd"/>
      <w:r w:rsidR="00257829">
        <w:rPr>
          <w:sz w:val="24"/>
          <w:szCs w:val="24"/>
        </w:rPr>
        <w:t xml:space="preserve"> </w:t>
      </w:r>
      <w:proofErr w:type="spellStart"/>
      <w:r w:rsidR="00257829">
        <w:rPr>
          <w:sz w:val="24"/>
          <w:szCs w:val="24"/>
        </w:rPr>
        <w:t>apariţiei</w:t>
      </w:r>
      <w:proofErr w:type="spellEnd"/>
      <w:r w:rsidR="00257829">
        <w:rPr>
          <w:sz w:val="24"/>
          <w:szCs w:val="24"/>
        </w:rPr>
        <w:t xml:space="preserve"> </w:t>
      </w:r>
      <w:proofErr w:type="spellStart"/>
      <w:r w:rsidR="00257829">
        <w:rPr>
          <w:sz w:val="24"/>
          <w:szCs w:val="24"/>
        </w:rPr>
        <w:t>în</w:t>
      </w:r>
      <w:proofErr w:type="spellEnd"/>
      <w:r w:rsidR="00257829">
        <w:rPr>
          <w:sz w:val="24"/>
          <w:szCs w:val="24"/>
        </w:rPr>
        <w:t xml:space="preserve"> </w:t>
      </w:r>
      <w:proofErr w:type="spellStart"/>
      <w:r w:rsidR="00257829">
        <w:rPr>
          <w:sz w:val="24"/>
          <w:szCs w:val="24"/>
        </w:rPr>
        <w:t>presă</w:t>
      </w:r>
      <w:proofErr w:type="spellEnd"/>
      <w:r w:rsidR="00257829">
        <w:rPr>
          <w:sz w:val="24"/>
          <w:szCs w:val="24"/>
        </w:rPr>
        <w:t xml:space="preserve"> a </w:t>
      </w:r>
      <w:proofErr w:type="spellStart"/>
      <w:r w:rsidR="00257829">
        <w:rPr>
          <w:sz w:val="24"/>
          <w:szCs w:val="24"/>
        </w:rPr>
        <w:t>unor</w:t>
      </w:r>
      <w:proofErr w:type="spellEnd"/>
      <w:r w:rsidR="00257829">
        <w:rPr>
          <w:sz w:val="24"/>
          <w:szCs w:val="24"/>
        </w:rPr>
        <w:t xml:space="preserve"> </w:t>
      </w:r>
      <w:proofErr w:type="spellStart"/>
      <w:r w:rsidR="00257829">
        <w:rPr>
          <w:sz w:val="24"/>
          <w:szCs w:val="24"/>
        </w:rPr>
        <w:t>informaţii</w:t>
      </w:r>
      <w:proofErr w:type="spellEnd"/>
      <w:r w:rsidR="00257829">
        <w:rPr>
          <w:sz w:val="24"/>
          <w:szCs w:val="24"/>
        </w:rPr>
        <w:t xml:space="preserve"> cu </w:t>
      </w:r>
      <w:proofErr w:type="spellStart"/>
      <w:r w:rsidR="00257829">
        <w:rPr>
          <w:sz w:val="24"/>
          <w:szCs w:val="24"/>
        </w:rPr>
        <w:t>privire</w:t>
      </w:r>
      <w:proofErr w:type="spellEnd"/>
      <w:r w:rsidR="00257829">
        <w:rPr>
          <w:sz w:val="24"/>
          <w:szCs w:val="24"/>
        </w:rPr>
        <w:t xml:space="preserve"> la </w:t>
      </w:r>
      <w:proofErr w:type="spellStart"/>
      <w:r w:rsidR="00257829">
        <w:rPr>
          <w:sz w:val="24"/>
          <w:szCs w:val="24"/>
        </w:rPr>
        <w:t>eventuale</w:t>
      </w:r>
      <w:proofErr w:type="spellEnd"/>
      <w:r w:rsidR="00257829">
        <w:rPr>
          <w:sz w:val="24"/>
          <w:szCs w:val="24"/>
        </w:rPr>
        <w:t xml:space="preserve"> </w:t>
      </w:r>
      <w:proofErr w:type="spellStart"/>
      <w:r w:rsidR="00257829">
        <w:rPr>
          <w:sz w:val="24"/>
          <w:szCs w:val="24"/>
        </w:rPr>
        <w:t>încălcări</w:t>
      </w:r>
      <w:proofErr w:type="spellEnd"/>
      <w:r w:rsidR="00257829">
        <w:rPr>
          <w:sz w:val="24"/>
          <w:szCs w:val="24"/>
        </w:rPr>
        <w:t xml:space="preserve"> ale </w:t>
      </w:r>
      <w:proofErr w:type="spellStart"/>
      <w:r w:rsidR="00257829">
        <w:rPr>
          <w:sz w:val="24"/>
          <w:szCs w:val="24"/>
        </w:rPr>
        <w:t>legislaţiei</w:t>
      </w:r>
      <w:proofErr w:type="spellEnd"/>
      <w:r w:rsidR="00257829">
        <w:rPr>
          <w:sz w:val="24"/>
          <w:szCs w:val="24"/>
        </w:rPr>
        <w:t xml:space="preserve"> </w:t>
      </w:r>
      <w:proofErr w:type="spellStart"/>
      <w:r w:rsidR="00257829">
        <w:rPr>
          <w:sz w:val="24"/>
          <w:szCs w:val="24"/>
        </w:rPr>
        <w:t>muncii</w:t>
      </w:r>
      <w:proofErr w:type="spellEnd"/>
      <w:r w:rsidR="00257829">
        <w:rPr>
          <w:sz w:val="24"/>
          <w:szCs w:val="24"/>
        </w:rPr>
        <w:t>,</w:t>
      </w:r>
      <w:r w:rsidR="00865E2F">
        <w:rPr>
          <w:sz w:val="24"/>
          <w:szCs w:val="24"/>
        </w:rPr>
        <w:t xml:space="preserve"> </w:t>
      </w:r>
      <w:proofErr w:type="gramStart"/>
      <w:r w:rsidR="00865E2F">
        <w:rPr>
          <w:sz w:val="24"/>
          <w:szCs w:val="24"/>
        </w:rPr>
        <w:t>un</w:t>
      </w:r>
      <w:proofErr w:type="gramEnd"/>
      <w:r w:rsidR="00865E2F">
        <w:rPr>
          <w:sz w:val="24"/>
          <w:szCs w:val="24"/>
        </w:rPr>
        <w:t xml:space="preserve"> control </w:t>
      </w:r>
      <w:proofErr w:type="spellStart"/>
      <w:r w:rsidR="00865E2F">
        <w:rPr>
          <w:sz w:val="24"/>
          <w:szCs w:val="24"/>
        </w:rPr>
        <w:t>inopinat</w:t>
      </w:r>
      <w:proofErr w:type="spellEnd"/>
      <w:r w:rsidR="00865E2F">
        <w:rPr>
          <w:sz w:val="24"/>
          <w:szCs w:val="24"/>
        </w:rPr>
        <w:t xml:space="preserve"> la un </w:t>
      </w:r>
      <w:proofErr w:type="spellStart"/>
      <w:r w:rsidR="00865E2F">
        <w:rPr>
          <w:sz w:val="24"/>
          <w:szCs w:val="24"/>
        </w:rPr>
        <w:t>angajator</w:t>
      </w:r>
      <w:proofErr w:type="spellEnd"/>
      <w:r w:rsidR="00865E2F">
        <w:rPr>
          <w:sz w:val="24"/>
          <w:szCs w:val="24"/>
        </w:rPr>
        <w:t xml:space="preserve"> care </w:t>
      </w:r>
      <w:proofErr w:type="spellStart"/>
      <w:r w:rsidR="00865E2F">
        <w:rPr>
          <w:sz w:val="24"/>
          <w:szCs w:val="24"/>
        </w:rPr>
        <w:t>foloseşte</w:t>
      </w:r>
      <w:proofErr w:type="spellEnd"/>
      <w:r w:rsidR="00865E2F">
        <w:rPr>
          <w:sz w:val="24"/>
          <w:szCs w:val="24"/>
        </w:rPr>
        <w:t xml:space="preserve"> </w:t>
      </w:r>
      <w:proofErr w:type="spellStart"/>
      <w:r w:rsidR="00865E2F">
        <w:rPr>
          <w:sz w:val="24"/>
          <w:szCs w:val="24"/>
        </w:rPr>
        <w:t>în</w:t>
      </w:r>
      <w:proofErr w:type="spellEnd"/>
      <w:r w:rsidR="00865E2F">
        <w:rPr>
          <w:sz w:val="24"/>
          <w:szCs w:val="24"/>
        </w:rPr>
        <w:t xml:space="preserve"> </w:t>
      </w:r>
      <w:proofErr w:type="spellStart"/>
      <w:r w:rsidR="00865E2F">
        <w:rPr>
          <w:sz w:val="24"/>
          <w:szCs w:val="24"/>
        </w:rPr>
        <w:t>activitate</w:t>
      </w:r>
      <w:proofErr w:type="spellEnd"/>
      <w:r w:rsidR="00865E2F">
        <w:rPr>
          <w:sz w:val="24"/>
          <w:szCs w:val="24"/>
        </w:rPr>
        <w:t xml:space="preserve"> </w:t>
      </w:r>
      <w:proofErr w:type="spellStart"/>
      <w:r w:rsidR="00865E2F">
        <w:rPr>
          <w:sz w:val="24"/>
          <w:szCs w:val="24"/>
        </w:rPr>
        <w:t>cetăţeni</w:t>
      </w:r>
      <w:proofErr w:type="spellEnd"/>
      <w:r w:rsidR="00865E2F">
        <w:rPr>
          <w:sz w:val="24"/>
          <w:szCs w:val="24"/>
        </w:rPr>
        <w:t xml:space="preserve"> </w:t>
      </w:r>
      <w:proofErr w:type="spellStart"/>
      <w:r w:rsidR="00865E2F">
        <w:rPr>
          <w:sz w:val="24"/>
          <w:szCs w:val="24"/>
        </w:rPr>
        <w:t>străini</w:t>
      </w:r>
      <w:proofErr w:type="spellEnd"/>
      <w:r w:rsidR="00865E2F">
        <w:rPr>
          <w:sz w:val="24"/>
          <w:szCs w:val="24"/>
        </w:rPr>
        <w:t xml:space="preserve">. </w:t>
      </w:r>
    </w:p>
    <w:p w:rsidR="00C7617E" w:rsidRDefault="00257829" w:rsidP="00865E2F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autosesizării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 w:rsidR="00A83229">
        <w:rPr>
          <w:sz w:val="24"/>
          <w:szCs w:val="24"/>
        </w:rPr>
        <w:t>entru</w:t>
      </w:r>
      <w:proofErr w:type="spellEnd"/>
      <w:r w:rsidR="00A8322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controlului</w:t>
      </w:r>
      <w:proofErr w:type="spellEnd"/>
      <w:r>
        <w:rPr>
          <w:sz w:val="24"/>
          <w:szCs w:val="24"/>
        </w:rPr>
        <w:t>,</w:t>
      </w:r>
      <w:r w:rsidR="0046434A">
        <w:rPr>
          <w:sz w:val="24"/>
          <w:szCs w:val="24"/>
        </w:rPr>
        <w:t xml:space="preserve"> a</w:t>
      </w:r>
      <w:r>
        <w:rPr>
          <w:sz w:val="24"/>
          <w:szCs w:val="24"/>
        </w:rPr>
        <w:t>m</w:t>
      </w:r>
      <w:r w:rsidR="00A83229">
        <w:rPr>
          <w:sz w:val="24"/>
          <w:szCs w:val="24"/>
        </w:rPr>
        <w:t xml:space="preserve"> </w:t>
      </w:r>
      <w:proofErr w:type="spellStart"/>
      <w:r w:rsidR="00A83229">
        <w:rPr>
          <w:sz w:val="24"/>
          <w:szCs w:val="24"/>
        </w:rPr>
        <w:t>solicitat</w:t>
      </w:r>
      <w:proofErr w:type="spellEnd"/>
      <w:r w:rsidR="00A83229">
        <w:rPr>
          <w:sz w:val="24"/>
          <w:szCs w:val="24"/>
        </w:rPr>
        <w:t xml:space="preserve"> </w:t>
      </w:r>
      <w:proofErr w:type="spellStart"/>
      <w:r w:rsidR="00A83229">
        <w:rPr>
          <w:sz w:val="24"/>
          <w:szCs w:val="24"/>
        </w:rPr>
        <w:t>sprijinu</w:t>
      </w:r>
      <w:r w:rsidR="0046434A">
        <w:rPr>
          <w:sz w:val="24"/>
          <w:szCs w:val="24"/>
        </w:rPr>
        <w:t>l</w:t>
      </w:r>
      <w:proofErr w:type="spellEnd"/>
      <w:r w:rsidR="0046434A">
        <w:rPr>
          <w:sz w:val="24"/>
          <w:szCs w:val="24"/>
        </w:rPr>
        <w:t xml:space="preserve"> </w:t>
      </w:r>
      <w:proofErr w:type="spellStart"/>
      <w:r w:rsidR="0046434A">
        <w:rPr>
          <w:sz w:val="24"/>
          <w:szCs w:val="24"/>
        </w:rPr>
        <w:t>Biroului</w:t>
      </w:r>
      <w:proofErr w:type="spellEnd"/>
      <w:r w:rsidR="0046434A">
        <w:rPr>
          <w:sz w:val="24"/>
          <w:szCs w:val="24"/>
        </w:rPr>
        <w:t xml:space="preserve"> de </w:t>
      </w:r>
      <w:proofErr w:type="spellStart"/>
      <w:r w:rsidR="0046434A">
        <w:rPr>
          <w:sz w:val="24"/>
          <w:szCs w:val="24"/>
        </w:rPr>
        <w:t>Imigrări</w:t>
      </w:r>
      <w:proofErr w:type="spellEnd"/>
      <w:r w:rsidR="0046434A">
        <w:rPr>
          <w:sz w:val="24"/>
          <w:szCs w:val="24"/>
        </w:rPr>
        <w:t xml:space="preserve"> </w:t>
      </w:r>
      <w:proofErr w:type="spellStart"/>
      <w:r w:rsidR="0046434A"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reprezentanţii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însoţiindu-i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verificărilor</w:t>
      </w:r>
      <w:proofErr w:type="spellEnd"/>
      <w:r w:rsidR="0046434A">
        <w:rPr>
          <w:sz w:val="24"/>
          <w:szCs w:val="24"/>
        </w:rPr>
        <w:t>.</w:t>
      </w:r>
      <w:r w:rsidR="00A83229">
        <w:rPr>
          <w:sz w:val="24"/>
          <w:szCs w:val="24"/>
        </w:rPr>
        <w:t xml:space="preserve"> La </w:t>
      </w:r>
      <w:proofErr w:type="spellStart"/>
      <w:r w:rsidR="00C7617E">
        <w:rPr>
          <w:sz w:val="24"/>
          <w:szCs w:val="24"/>
        </w:rPr>
        <w:t>sediul</w:t>
      </w:r>
      <w:proofErr w:type="spellEnd"/>
      <w:r w:rsidR="00C7617E">
        <w:rPr>
          <w:sz w:val="24"/>
          <w:szCs w:val="24"/>
        </w:rPr>
        <w:t xml:space="preserve"> </w:t>
      </w:r>
      <w:proofErr w:type="spellStart"/>
      <w:r w:rsidR="00C7617E">
        <w:rPr>
          <w:sz w:val="24"/>
          <w:szCs w:val="24"/>
        </w:rPr>
        <w:t>angajatorului</w:t>
      </w:r>
      <w:proofErr w:type="spellEnd"/>
      <w:r>
        <w:rPr>
          <w:sz w:val="24"/>
          <w:szCs w:val="24"/>
        </w:rPr>
        <w:t xml:space="preserve"> s-au </w:t>
      </w:r>
      <w:proofErr w:type="spellStart"/>
      <w:r>
        <w:rPr>
          <w:sz w:val="24"/>
          <w:szCs w:val="24"/>
        </w:rPr>
        <w:t>găsit</w:t>
      </w:r>
      <w:proofErr w:type="spellEnd"/>
      <w:r w:rsidR="00C24EAA">
        <w:rPr>
          <w:sz w:val="24"/>
          <w:szCs w:val="24"/>
        </w:rPr>
        <w:t xml:space="preserve"> 17 </w:t>
      </w:r>
      <w:proofErr w:type="spellStart"/>
      <w:r w:rsidR="00C24EAA">
        <w:rPr>
          <w:sz w:val="24"/>
          <w:szCs w:val="24"/>
        </w:rPr>
        <w:t>cetăţeni</w:t>
      </w:r>
      <w:proofErr w:type="spellEnd"/>
      <w:r w:rsidR="00C24EAA">
        <w:rPr>
          <w:sz w:val="24"/>
          <w:szCs w:val="24"/>
        </w:rPr>
        <w:t xml:space="preserve"> </w:t>
      </w:r>
      <w:proofErr w:type="spellStart"/>
      <w:r w:rsidR="00C24EAA">
        <w:rPr>
          <w:sz w:val="24"/>
          <w:szCs w:val="24"/>
        </w:rPr>
        <w:t>străini</w:t>
      </w:r>
      <w:proofErr w:type="spellEnd"/>
      <w:r w:rsidR="00F44894">
        <w:rPr>
          <w:sz w:val="24"/>
          <w:szCs w:val="24"/>
        </w:rPr>
        <w:t>.</w:t>
      </w:r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Având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în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vedere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că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persoana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juridică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pentru</w:t>
      </w:r>
      <w:proofErr w:type="spellEnd"/>
      <w:r w:rsidR="00EB348D">
        <w:rPr>
          <w:sz w:val="24"/>
          <w:szCs w:val="24"/>
        </w:rPr>
        <w:t xml:space="preserve"> care </w:t>
      </w:r>
      <w:proofErr w:type="spellStart"/>
      <w:r w:rsidR="00EB348D">
        <w:rPr>
          <w:sz w:val="24"/>
          <w:szCs w:val="24"/>
        </w:rPr>
        <w:t>lucrează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aceştia</w:t>
      </w:r>
      <w:proofErr w:type="spellEnd"/>
      <w:r w:rsidR="00EB348D">
        <w:rPr>
          <w:sz w:val="24"/>
          <w:szCs w:val="24"/>
        </w:rPr>
        <w:t xml:space="preserve"> are </w:t>
      </w:r>
      <w:proofErr w:type="spellStart"/>
      <w:r w:rsidR="00EB348D">
        <w:rPr>
          <w:sz w:val="24"/>
          <w:szCs w:val="24"/>
        </w:rPr>
        <w:t>sediul</w:t>
      </w:r>
      <w:proofErr w:type="spellEnd"/>
      <w:r w:rsidR="00EB348D">
        <w:rPr>
          <w:sz w:val="24"/>
          <w:szCs w:val="24"/>
        </w:rPr>
        <w:t xml:space="preserve"> social </w:t>
      </w:r>
      <w:proofErr w:type="spellStart"/>
      <w:r w:rsidR="00EB348D">
        <w:rPr>
          <w:sz w:val="24"/>
          <w:szCs w:val="24"/>
        </w:rPr>
        <w:t>în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judeţul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Vâlcea</w:t>
      </w:r>
      <w:proofErr w:type="spellEnd"/>
      <w:r w:rsidR="00EB348D">
        <w:rPr>
          <w:sz w:val="24"/>
          <w:szCs w:val="24"/>
        </w:rPr>
        <w:t xml:space="preserve">, conform </w:t>
      </w:r>
      <w:proofErr w:type="spellStart"/>
      <w:r w:rsidR="00EB348D">
        <w:rPr>
          <w:sz w:val="24"/>
          <w:szCs w:val="24"/>
        </w:rPr>
        <w:t>competenţei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teritoriale</w:t>
      </w:r>
      <w:proofErr w:type="spellEnd"/>
      <w:r w:rsidR="00EB348D">
        <w:rPr>
          <w:sz w:val="24"/>
          <w:szCs w:val="24"/>
        </w:rPr>
        <w:t xml:space="preserve">, </w:t>
      </w:r>
      <w:proofErr w:type="spellStart"/>
      <w:r w:rsidR="00EB348D">
        <w:rPr>
          <w:sz w:val="24"/>
          <w:szCs w:val="24"/>
        </w:rPr>
        <w:t>fişele</w:t>
      </w:r>
      <w:proofErr w:type="spellEnd"/>
      <w:r w:rsidR="00EB348D">
        <w:rPr>
          <w:sz w:val="24"/>
          <w:szCs w:val="24"/>
        </w:rPr>
        <w:t xml:space="preserve"> de </w:t>
      </w:r>
      <w:proofErr w:type="spellStart"/>
      <w:r w:rsidR="00EB348D">
        <w:rPr>
          <w:sz w:val="24"/>
          <w:szCs w:val="24"/>
        </w:rPr>
        <w:t>identificare</w:t>
      </w:r>
      <w:proofErr w:type="spellEnd"/>
      <w:r w:rsidR="00A115AF">
        <w:rPr>
          <w:sz w:val="24"/>
          <w:szCs w:val="24"/>
        </w:rPr>
        <w:t>,</w:t>
      </w:r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completate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în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timpul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verificărilor</w:t>
      </w:r>
      <w:proofErr w:type="spellEnd"/>
      <w:r w:rsidR="00A115AF">
        <w:rPr>
          <w:sz w:val="24"/>
          <w:szCs w:val="24"/>
        </w:rPr>
        <w:t>,</w:t>
      </w:r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vor</w:t>
      </w:r>
      <w:proofErr w:type="spellEnd"/>
      <w:r w:rsidR="00EB348D">
        <w:rPr>
          <w:sz w:val="24"/>
          <w:szCs w:val="24"/>
        </w:rPr>
        <w:t xml:space="preserve"> fi </w:t>
      </w:r>
      <w:proofErr w:type="spellStart"/>
      <w:r w:rsidR="00EB348D">
        <w:rPr>
          <w:sz w:val="24"/>
          <w:szCs w:val="24"/>
        </w:rPr>
        <w:t>transmise</w:t>
      </w:r>
      <w:proofErr w:type="spellEnd"/>
      <w:r w:rsidR="00EB348D">
        <w:rPr>
          <w:sz w:val="24"/>
          <w:szCs w:val="24"/>
        </w:rPr>
        <w:t xml:space="preserve"> la </w:t>
      </w:r>
      <w:proofErr w:type="spellStart"/>
      <w:r w:rsidR="00EB348D">
        <w:rPr>
          <w:sz w:val="24"/>
          <w:szCs w:val="24"/>
        </w:rPr>
        <w:t>Inspectoratul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Teritorial</w:t>
      </w:r>
      <w:proofErr w:type="spellEnd"/>
      <w:r w:rsidR="00EB348D">
        <w:rPr>
          <w:sz w:val="24"/>
          <w:szCs w:val="24"/>
        </w:rPr>
        <w:t xml:space="preserve"> de </w:t>
      </w:r>
      <w:proofErr w:type="spellStart"/>
      <w:r w:rsidR="00EB348D">
        <w:rPr>
          <w:sz w:val="24"/>
          <w:szCs w:val="24"/>
        </w:rPr>
        <w:t>Muncă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Vâlcea</w:t>
      </w:r>
      <w:proofErr w:type="spellEnd"/>
      <w:r w:rsidR="00EB348D">
        <w:rPr>
          <w:sz w:val="24"/>
          <w:szCs w:val="24"/>
        </w:rPr>
        <w:t xml:space="preserve">, </w:t>
      </w:r>
      <w:proofErr w:type="spellStart"/>
      <w:r w:rsidR="00EB348D">
        <w:rPr>
          <w:sz w:val="24"/>
          <w:szCs w:val="24"/>
        </w:rPr>
        <w:t>pentru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definitivarea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controlului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şi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luarea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măsurilor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legale</w:t>
      </w:r>
      <w:proofErr w:type="spellEnd"/>
      <w:r w:rsidR="00EB348D">
        <w:rPr>
          <w:sz w:val="24"/>
          <w:szCs w:val="24"/>
        </w:rPr>
        <w:t xml:space="preserve">, </w:t>
      </w:r>
      <w:proofErr w:type="spellStart"/>
      <w:r w:rsidR="00EB348D">
        <w:rPr>
          <w:sz w:val="24"/>
          <w:szCs w:val="24"/>
        </w:rPr>
        <w:t>în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cazul</w:t>
      </w:r>
      <w:proofErr w:type="spellEnd"/>
      <w:r w:rsidR="00EB348D">
        <w:rPr>
          <w:sz w:val="24"/>
          <w:szCs w:val="24"/>
        </w:rPr>
        <w:t xml:space="preserve"> </w:t>
      </w:r>
      <w:proofErr w:type="spellStart"/>
      <w:r w:rsidR="00EB348D">
        <w:rPr>
          <w:sz w:val="24"/>
          <w:szCs w:val="24"/>
        </w:rPr>
        <w:t>în</w:t>
      </w:r>
      <w:proofErr w:type="spellEnd"/>
      <w:r w:rsidR="00EB348D">
        <w:rPr>
          <w:sz w:val="24"/>
          <w:szCs w:val="24"/>
        </w:rPr>
        <w:t xml:space="preserve"> care </w:t>
      </w:r>
      <w:proofErr w:type="spellStart"/>
      <w:r w:rsidR="00EB348D">
        <w:rPr>
          <w:sz w:val="24"/>
          <w:szCs w:val="24"/>
        </w:rPr>
        <w:t>acestea</w:t>
      </w:r>
      <w:proofErr w:type="spellEnd"/>
      <w:r w:rsidR="00EB348D"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impun</w:t>
      </w:r>
      <w:proofErr w:type="spellEnd"/>
      <w:r>
        <w:rPr>
          <w:sz w:val="24"/>
          <w:szCs w:val="24"/>
        </w:rPr>
        <w:t xml:space="preserve">”, a declarant George Octavian </w:t>
      </w:r>
      <w:proofErr w:type="spellStart"/>
      <w:r>
        <w:rPr>
          <w:sz w:val="24"/>
          <w:szCs w:val="24"/>
        </w:rPr>
        <w:t>Romanescu</w:t>
      </w:r>
      <w:proofErr w:type="spellEnd"/>
      <w:r>
        <w:rPr>
          <w:sz w:val="24"/>
          <w:szCs w:val="24"/>
        </w:rPr>
        <w:t xml:space="preserve">, inspector </w:t>
      </w:r>
      <w:proofErr w:type="spellStart"/>
      <w:r>
        <w:rPr>
          <w:sz w:val="24"/>
          <w:szCs w:val="24"/>
        </w:rPr>
        <w:t>şef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Inspectoratul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Gorj</w:t>
      </w:r>
      <w:proofErr w:type="spellEnd"/>
      <w:r w:rsidR="00EB348D">
        <w:rPr>
          <w:sz w:val="24"/>
          <w:szCs w:val="24"/>
        </w:rPr>
        <w:t xml:space="preserve">. </w:t>
      </w:r>
    </w:p>
    <w:p w:rsidR="00865E2F" w:rsidRPr="00865E2F" w:rsidRDefault="00865E2F" w:rsidP="00865E2F">
      <w:pPr>
        <w:ind w:left="993" w:right="324"/>
        <w:jc w:val="both"/>
        <w:rPr>
          <w:sz w:val="24"/>
          <w:szCs w:val="24"/>
          <w:lang w:val="ro-RO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E0" w:rsidRDefault="002828E0" w:rsidP="00CD5B3B">
      <w:r>
        <w:separator/>
      </w:r>
    </w:p>
  </w:endnote>
  <w:endnote w:type="continuationSeparator" w:id="0">
    <w:p w:rsidR="002828E0" w:rsidRDefault="002828E0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2828E0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2828E0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3E4DF7" w:rsidRPr="00327531">
      <w:rPr>
        <w:b/>
        <w:sz w:val="14"/>
        <w:szCs w:val="16"/>
      </w:rPr>
      <w:t xml:space="preserve">www.inspectiamuncii.ro ;  </w:t>
    </w:r>
  </w:p>
  <w:p w:rsidR="00AD41DA" w:rsidRDefault="002828E0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E0" w:rsidRDefault="002828E0" w:rsidP="00CD5B3B">
      <w:r>
        <w:separator/>
      </w:r>
    </w:p>
  </w:footnote>
  <w:footnote w:type="continuationSeparator" w:id="0">
    <w:p w:rsidR="002828E0" w:rsidRDefault="002828E0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2828E0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20BB2"/>
    <w:rsid w:val="00020F46"/>
    <w:rsid w:val="00043406"/>
    <w:rsid w:val="0004474B"/>
    <w:rsid w:val="000567FC"/>
    <w:rsid w:val="000767C9"/>
    <w:rsid w:val="00092C9F"/>
    <w:rsid w:val="000A0812"/>
    <w:rsid w:val="000C1C4D"/>
    <w:rsid w:val="000C3F96"/>
    <w:rsid w:val="000C775B"/>
    <w:rsid w:val="000D0F52"/>
    <w:rsid w:val="000E0696"/>
    <w:rsid w:val="00100F36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E03C9"/>
    <w:rsid w:val="001F3097"/>
    <w:rsid w:val="001F456F"/>
    <w:rsid w:val="001F5132"/>
    <w:rsid w:val="001F5F19"/>
    <w:rsid w:val="0022184C"/>
    <w:rsid w:val="00227966"/>
    <w:rsid w:val="00241AA4"/>
    <w:rsid w:val="00257829"/>
    <w:rsid w:val="00272E31"/>
    <w:rsid w:val="002828E0"/>
    <w:rsid w:val="002848F3"/>
    <w:rsid w:val="0028720D"/>
    <w:rsid w:val="002A5742"/>
    <w:rsid w:val="002B382A"/>
    <w:rsid w:val="002C1517"/>
    <w:rsid w:val="002D499D"/>
    <w:rsid w:val="002E2270"/>
    <w:rsid w:val="00306D72"/>
    <w:rsid w:val="003070E3"/>
    <w:rsid w:val="00315D18"/>
    <w:rsid w:val="0032461D"/>
    <w:rsid w:val="00332152"/>
    <w:rsid w:val="00333C18"/>
    <w:rsid w:val="00335D2D"/>
    <w:rsid w:val="0034448B"/>
    <w:rsid w:val="00353678"/>
    <w:rsid w:val="0035613F"/>
    <w:rsid w:val="00360BAC"/>
    <w:rsid w:val="00362768"/>
    <w:rsid w:val="00376AD0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3F57"/>
    <w:rsid w:val="00431399"/>
    <w:rsid w:val="00431C85"/>
    <w:rsid w:val="00451E71"/>
    <w:rsid w:val="004566FB"/>
    <w:rsid w:val="0046434A"/>
    <w:rsid w:val="00480C61"/>
    <w:rsid w:val="00493AD5"/>
    <w:rsid w:val="004954DF"/>
    <w:rsid w:val="004A2A64"/>
    <w:rsid w:val="004A5EB4"/>
    <w:rsid w:val="004C28B3"/>
    <w:rsid w:val="004D5B02"/>
    <w:rsid w:val="004E6163"/>
    <w:rsid w:val="004F713C"/>
    <w:rsid w:val="00520545"/>
    <w:rsid w:val="00524F34"/>
    <w:rsid w:val="00533ECF"/>
    <w:rsid w:val="00534D03"/>
    <w:rsid w:val="005459B7"/>
    <w:rsid w:val="005459DD"/>
    <w:rsid w:val="00546F3D"/>
    <w:rsid w:val="0056251E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101BB"/>
    <w:rsid w:val="00621EE6"/>
    <w:rsid w:val="00646B41"/>
    <w:rsid w:val="00652D90"/>
    <w:rsid w:val="00654D34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528B"/>
    <w:rsid w:val="006C50E6"/>
    <w:rsid w:val="006D7B7A"/>
    <w:rsid w:val="006E6C28"/>
    <w:rsid w:val="006F16AE"/>
    <w:rsid w:val="00706765"/>
    <w:rsid w:val="0071655A"/>
    <w:rsid w:val="00720041"/>
    <w:rsid w:val="00722BEC"/>
    <w:rsid w:val="007311E8"/>
    <w:rsid w:val="0074626E"/>
    <w:rsid w:val="00766E0E"/>
    <w:rsid w:val="00784CF3"/>
    <w:rsid w:val="00787C91"/>
    <w:rsid w:val="00792399"/>
    <w:rsid w:val="007A1C8F"/>
    <w:rsid w:val="007A359C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65E2F"/>
    <w:rsid w:val="00872F52"/>
    <w:rsid w:val="00891A60"/>
    <w:rsid w:val="008A2AC0"/>
    <w:rsid w:val="008B04F5"/>
    <w:rsid w:val="008D5B0F"/>
    <w:rsid w:val="008E2416"/>
    <w:rsid w:val="008E4C72"/>
    <w:rsid w:val="008E6478"/>
    <w:rsid w:val="00912ED3"/>
    <w:rsid w:val="00915096"/>
    <w:rsid w:val="00927367"/>
    <w:rsid w:val="00931BD9"/>
    <w:rsid w:val="009510DA"/>
    <w:rsid w:val="00954846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115AF"/>
    <w:rsid w:val="00A13EE9"/>
    <w:rsid w:val="00A271A5"/>
    <w:rsid w:val="00A305F4"/>
    <w:rsid w:val="00A34EEA"/>
    <w:rsid w:val="00A411C1"/>
    <w:rsid w:val="00A46994"/>
    <w:rsid w:val="00A504B6"/>
    <w:rsid w:val="00A524C1"/>
    <w:rsid w:val="00A73DA0"/>
    <w:rsid w:val="00A83229"/>
    <w:rsid w:val="00A840B3"/>
    <w:rsid w:val="00AA6432"/>
    <w:rsid w:val="00AB4F01"/>
    <w:rsid w:val="00AC6A9A"/>
    <w:rsid w:val="00AD08E1"/>
    <w:rsid w:val="00AD41DA"/>
    <w:rsid w:val="00AE0440"/>
    <w:rsid w:val="00AE26B4"/>
    <w:rsid w:val="00AF3A6E"/>
    <w:rsid w:val="00B11A9E"/>
    <w:rsid w:val="00B13BB4"/>
    <w:rsid w:val="00B302B4"/>
    <w:rsid w:val="00B3354B"/>
    <w:rsid w:val="00B605D4"/>
    <w:rsid w:val="00B62CF4"/>
    <w:rsid w:val="00B83372"/>
    <w:rsid w:val="00B92899"/>
    <w:rsid w:val="00BB18B3"/>
    <w:rsid w:val="00BD25C4"/>
    <w:rsid w:val="00BD2B13"/>
    <w:rsid w:val="00BD5A4A"/>
    <w:rsid w:val="00BE1CEA"/>
    <w:rsid w:val="00BE3BFD"/>
    <w:rsid w:val="00BE738D"/>
    <w:rsid w:val="00BF39FC"/>
    <w:rsid w:val="00BF4A30"/>
    <w:rsid w:val="00BF5F8B"/>
    <w:rsid w:val="00C05F49"/>
    <w:rsid w:val="00C164E3"/>
    <w:rsid w:val="00C20EF1"/>
    <w:rsid w:val="00C24EAA"/>
    <w:rsid w:val="00C30FB1"/>
    <w:rsid w:val="00C4665A"/>
    <w:rsid w:val="00C66906"/>
    <w:rsid w:val="00C677FC"/>
    <w:rsid w:val="00C7617E"/>
    <w:rsid w:val="00C76669"/>
    <w:rsid w:val="00C81BB9"/>
    <w:rsid w:val="00C9108F"/>
    <w:rsid w:val="00C91379"/>
    <w:rsid w:val="00C92B6E"/>
    <w:rsid w:val="00CA08F1"/>
    <w:rsid w:val="00CC0611"/>
    <w:rsid w:val="00CC4A98"/>
    <w:rsid w:val="00CC520B"/>
    <w:rsid w:val="00CD0C6C"/>
    <w:rsid w:val="00CD0F06"/>
    <w:rsid w:val="00CD2D07"/>
    <w:rsid w:val="00CD5B3B"/>
    <w:rsid w:val="00CF2C8E"/>
    <w:rsid w:val="00D02794"/>
    <w:rsid w:val="00D05D93"/>
    <w:rsid w:val="00D06E9C"/>
    <w:rsid w:val="00D1127E"/>
    <w:rsid w:val="00D14AAB"/>
    <w:rsid w:val="00D154CC"/>
    <w:rsid w:val="00D16B18"/>
    <w:rsid w:val="00D33D79"/>
    <w:rsid w:val="00D473BE"/>
    <w:rsid w:val="00D529C8"/>
    <w:rsid w:val="00D54C52"/>
    <w:rsid w:val="00D54CE4"/>
    <w:rsid w:val="00D61460"/>
    <w:rsid w:val="00D62411"/>
    <w:rsid w:val="00D7179D"/>
    <w:rsid w:val="00D86F1D"/>
    <w:rsid w:val="00D870EE"/>
    <w:rsid w:val="00D8751A"/>
    <w:rsid w:val="00D94DE8"/>
    <w:rsid w:val="00DA29BC"/>
    <w:rsid w:val="00DA3CB9"/>
    <w:rsid w:val="00DB069F"/>
    <w:rsid w:val="00DD628C"/>
    <w:rsid w:val="00DF6CC4"/>
    <w:rsid w:val="00E23C52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348D"/>
    <w:rsid w:val="00EB495A"/>
    <w:rsid w:val="00EC0AEE"/>
    <w:rsid w:val="00EC4661"/>
    <w:rsid w:val="00EE5090"/>
    <w:rsid w:val="00EF3048"/>
    <w:rsid w:val="00F00318"/>
    <w:rsid w:val="00F14552"/>
    <w:rsid w:val="00F23364"/>
    <w:rsid w:val="00F23376"/>
    <w:rsid w:val="00F25162"/>
    <w:rsid w:val="00F44894"/>
    <w:rsid w:val="00F659E6"/>
    <w:rsid w:val="00F65F9B"/>
    <w:rsid w:val="00F67D20"/>
    <w:rsid w:val="00F952B6"/>
    <w:rsid w:val="00F96453"/>
    <w:rsid w:val="00FA55B3"/>
    <w:rsid w:val="00FA6DF7"/>
    <w:rsid w:val="00FB6817"/>
    <w:rsid w:val="00FB6D27"/>
    <w:rsid w:val="00FC019F"/>
    <w:rsid w:val="00FC4284"/>
    <w:rsid w:val="00FC58CB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32C33-7A49-44DD-99D2-EDC5FF68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4676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85</cp:revision>
  <cp:lastPrinted>2019-07-04T08:33:00Z</cp:lastPrinted>
  <dcterms:created xsi:type="dcterms:W3CDTF">2019-01-08T11:01:00Z</dcterms:created>
  <dcterms:modified xsi:type="dcterms:W3CDTF">2019-07-04T09:12:00Z</dcterms:modified>
</cp:coreProperties>
</file>