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0C038E">
        <w:t>12.08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C038E" w:rsidRDefault="000C038E" w:rsidP="00B605D4">
      <w:pPr>
        <w:ind w:left="993" w:right="324"/>
        <w:jc w:val="both"/>
        <w:rPr>
          <w:sz w:val="24"/>
          <w:szCs w:val="24"/>
        </w:rPr>
      </w:pPr>
    </w:p>
    <w:p w:rsidR="000C038E" w:rsidRDefault="000C038E" w:rsidP="00DE0C87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Doi angajatori din judeţul Gorj au fost sancţionaţi, săpămâna trecută, cu 10.000 de lei</w:t>
      </w:r>
      <w:r w:rsidR="00B864C3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fiecare</w:t>
      </w:r>
      <w:r w:rsidR="00B864C3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pentru nerespectarea obligativităţii de îndeplinire a planurilor de măsuri trasate de inspectorii de muncă</w:t>
      </w:r>
      <w:r w:rsidR="00B864C3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 urma unor controale anterioare. </w:t>
      </w:r>
      <w:r w:rsidR="00B864C3">
        <w:rPr>
          <w:sz w:val="24"/>
          <w:szCs w:val="24"/>
          <w:lang w:val="ro-RO"/>
        </w:rPr>
        <w:t>Într-unul dintre cele două cazuri, este cea de-a treia sancţiune</w:t>
      </w:r>
      <w:r w:rsidR="004F58F6">
        <w:rPr>
          <w:sz w:val="24"/>
          <w:szCs w:val="24"/>
          <w:lang w:val="ro-RO"/>
        </w:rPr>
        <w:t xml:space="preserve"> în sumă de 10.000 de lei</w:t>
      </w:r>
      <w:r w:rsidR="00B864C3">
        <w:rPr>
          <w:sz w:val="24"/>
          <w:szCs w:val="24"/>
          <w:lang w:val="ro-RO"/>
        </w:rPr>
        <w:t xml:space="preserve"> care se aplică angajatorului re</w:t>
      </w:r>
      <w:r w:rsidR="00B329AE">
        <w:rPr>
          <w:sz w:val="24"/>
          <w:szCs w:val="24"/>
          <w:lang w:val="ro-RO"/>
        </w:rPr>
        <w:t>spectiv</w:t>
      </w:r>
      <w:r w:rsidR="00B864C3">
        <w:rPr>
          <w:sz w:val="24"/>
          <w:szCs w:val="24"/>
          <w:lang w:val="ro-RO"/>
        </w:rPr>
        <w:t>: „</w:t>
      </w:r>
      <w:r w:rsidR="004F58F6">
        <w:rPr>
          <w:sz w:val="24"/>
          <w:szCs w:val="24"/>
          <w:lang w:val="ro-RO"/>
        </w:rPr>
        <w:t xml:space="preserve"> Relizarea măsurilor dispuse de către inspectorii de muncă  practic remediază deficienţele</w:t>
      </w:r>
      <w:r w:rsidR="00DE0C87">
        <w:rPr>
          <w:sz w:val="24"/>
          <w:szCs w:val="24"/>
          <w:lang w:val="ro-RO"/>
        </w:rPr>
        <w:t xml:space="preserve"> constatate în</w:t>
      </w:r>
      <w:r w:rsidR="00B329AE">
        <w:rPr>
          <w:sz w:val="24"/>
          <w:szCs w:val="24"/>
          <w:lang w:val="ro-RO"/>
        </w:rPr>
        <w:t xml:space="preserve"> controalele precedente</w:t>
      </w:r>
      <w:r w:rsidR="004F58F6">
        <w:rPr>
          <w:sz w:val="24"/>
          <w:szCs w:val="24"/>
          <w:lang w:val="ro-RO"/>
        </w:rPr>
        <w:t>, ceea ce face ca raporturile de muncă între angajatori şi salariaţi să se desfăşoare în parametri prevederilor legale. Din acest motiv este foarte importantă îndeplinirea acestora</w:t>
      </w:r>
      <w:r w:rsidR="00ED6583">
        <w:rPr>
          <w:sz w:val="24"/>
          <w:szCs w:val="24"/>
          <w:lang w:val="ro-RO"/>
        </w:rPr>
        <w:t>, iar</w:t>
      </w:r>
      <w:r w:rsidR="00DE0C87">
        <w:rPr>
          <w:sz w:val="24"/>
          <w:szCs w:val="24"/>
          <w:lang w:val="ro-RO"/>
        </w:rPr>
        <w:t>,</w:t>
      </w:r>
      <w:r w:rsidR="00ED6583">
        <w:rPr>
          <w:sz w:val="24"/>
          <w:szCs w:val="24"/>
          <w:lang w:val="ro-RO"/>
        </w:rPr>
        <w:t xml:space="preserve"> în cazul în care angajatorii ignoră acest lucru, pot fi sancţionaţi cu amenzi </w:t>
      </w:r>
      <w:r w:rsidR="00DE0C87">
        <w:rPr>
          <w:sz w:val="24"/>
          <w:szCs w:val="24"/>
          <w:lang w:val="ro-RO"/>
        </w:rPr>
        <w:t>cuprinse între 5.000 şi 10.000 de lei, conform</w:t>
      </w:r>
      <w:r w:rsidR="004F58F6">
        <w:rPr>
          <w:sz w:val="24"/>
          <w:szCs w:val="24"/>
          <w:lang w:val="ro-RO"/>
        </w:rPr>
        <w:t xml:space="preserve"> art. 23, alin. 1, lit. b din Legea 108/1999 pentru înfiinţarea şi organizarea Inspecţiei Muncii, </w:t>
      </w:r>
      <w:r w:rsidR="00DE0C87">
        <w:rPr>
          <w:sz w:val="24"/>
          <w:szCs w:val="24"/>
          <w:lang w:val="ro-RO"/>
        </w:rPr>
        <w:t>republicată şi actualizată”, a declarat George Octavian Romanescu, inspectorul şef al Inspectoratului Teritorial de Muncă Gorj.</w:t>
      </w:r>
    </w:p>
    <w:p w:rsidR="00DE0C87" w:rsidRDefault="00DE0C87" w:rsidP="00DE0C87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De asemenea, </w:t>
      </w:r>
      <w:r w:rsidR="001C22E9">
        <w:rPr>
          <w:sz w:val="24"/>
          <w:szCs w:val="24"/>
          <w:lang w:val="ro-RO"/>
        </w:rPr>
        <w:t>cea</w:t>
      </w:r>
      <w:r>
        <w:rPr>
          <w:sz w:val="24"/>
          <w:szCs w:val="24"/>
          <w:lang w:val="ro-RO"/>
        </w:rPr>
        <w:t xml:space="preserve"> de-a doua persoană juridică verificată a mai fost amendată cu 10.000 de lei pentru primirea la muncă a unei persoane în afara programului de lucru stabilit în cadrul contractului de muncă cu timp parţial.</w:t>
      </w:r>
    </w:p>
    <w:p w:rsidR="00DE0C87" w:rsidRDefault="00D30EC0" w:rsidP="00DE0C87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domeniul securităţii şi sănătăţii în muncă</w:t>
      </w:r>
      <w:r w:rsidR="005F6E69">
        <w:rPr>
          <w:sz w:val="24"/>
          <w:szCs w:val="24"/>
          <w:lang w:val="ro-RO"/>
        </w:rPr>
        <w:t>, angajatorul menţionat</w:t>
      </w:r>
      <w:r w:rsidR="0085133C">
        <w:rPr>
          <w:sz w:val="24"/>
          <w:szCs w:val="24"/>
          <w:lang w:val="ro-RO"/>
        </w:rPr>
        <w:t xml:space="preserve"> a fost sancţionat</w:t>
      </w:r>
      <w:r w:rsidR="005F6E69">
        <w:rPr>
          <w:sz w:val="24"/>
          <w:szCs w:val="24"/>
          <w:lang w:val="ro-RO"/>
        </w:rPr>
        <w:t xml:space="preserve"> cu 6.000 de lei, respectiv 7.000 de lei, pentru </w:t>
      </w:r>
      <w:r w:rsidR="001C22E9">
        <w:rPr>
          <w:sz w:val="24"/>
          <w:szCs w:val="24"/>
          <w:lang w:val="ro-RO"/>
        </w:rPr>
        <w:t>folos</w:t>
      </w:r>
      <w:r w:rsidR="00AD3D3F">
        <w:rPr>
          <w:sz w:val="24"/>
          <w:szCs w:val="24"/>
          <w:lang w:val="ro-RO"/>
        </w:rPr>
        <w:t>irea în activitate de</w:t>
      </w:r>
      <w:r w:rsidR="001C22E9">
        <w:rPr>
          <w:sz w:val="24"/>
          <w:szCs w:val="24"/>
          <w:lang w:val="ro-RO"/>
        </w:rPr>
        <w:t xml:space="preserve"> e</w:t>
      </w:r>
      <w:r w:rsidR="005F6E69">
        <w:rPr>
          <w:sz w:val="24"/>
          <w:szCs w:val="24"/>
          <w:lang w:val="ro-RO"/>
        </w:rPr>
        <w:t>chipament</w:t>
      </w:r>
      <w:r w:rsidR="00AD3D3F">
        <w:rPr>
          <w:sz w:val="24"/>
          <w:szCs w:val="24"/>
          <w:lang w:val="ro-RO"/>
        </w:rPr>
        <w:t xml:space="preserve"> individual d</w:t>
      </w:r>
      <w:r w:rsidR="005F6E69">
        <w:rPr>
          <w:sz w:val="24"/>
          <w:szCs w:val="24"/>
          <w:lang w:val="ro-RO"/>
        </w:rPr>
        <w:t>e</w:t>
      </w:r>
      <w:r w:rsidR="00AD3D3F">
        <w:rPr>
          <w:sz w:val="24"/>
          <w:szCs w:val="24"/>
          <w:lang w:val="ro-RO"/>
        </w:rPr>
        <w:t xml:space="preserve"> </w:t>
      </w:r>
      <w:r w:rsidR="005F6E69">
        <w:rPr>
          <w:sz w:val="24"/>
          <w:szCs w:val="24"/>
          <w:lang w:val="ro-RO"/>
        </w:rPr>
        <w:t>protecţie necoresponzător şi truse medicale şi extinctoare cu termenul de valabilitate expirat.</w:t>
      </w:r>
    </w:p>
    <w:p w:rsidR="005F6E69" w:rsidRDefault="005F6E69" w:rsidP="00DE0C87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perioada 05.08.2019-09.08.2019, inspectorii de mu</w:t>
      </w:r>
      <w:r w:rsidR="000763B3">
        <w:rPr>
          <w:sz w:val="24"/>
          <w:szCs w:val="24"/>
          <w:lang w:val="ro-RO"/>
        </w:rPr>
        <w:t xml:space="preserve">ncă din cadrul Serviciului </w:t>
      </w:r>
      <w:r>
        <w:rPr>
          <w:sz w:val="24"/>
          <w:szCs w:val="24"/>
          <w:lang w:val="ro-RO"/>
        </w:rPr>
        <w:t xml:space="preserve">Control </w:t>
      </w:r>
      <w:r w:rsidR="000763B3">
        <w:rPr>
          <w:sz w:val="24"/>
          <w:szCs w:val="24"/>
          <w:lang w:val="ro-RO"/>
        </w:rPr>
        <w:t>Muncă Nedeclarată şi Compartimentului</w:t>
      </w:r>
      <w:r>
        <w:rPr>
          <w:sz w:val="24"/>
          <w:szCs w:val="24"/>
          <w:lang w:val="ro-RO"/>
        </w:rPr>
        <w:t xml:space="preserve"> Secu</w:t>
      </w:r>
      <w:r w:rsidR="000763B3">
        <w:rPr>
          <w:sz w:val="24"/>
          <w:szCs w:val="24"/>
          <w:lang w:val="ro-RO"/>
        </w:rPr>
        <w:t>r</w:t>
      </w:r>
      <w:bookmarkStart w:id="0" w:name="_GoBack"/>
      <w:bookmarkEnd w:id="0"/>
      <w:r>
        <w:rPr>
          <w:sz w:val="24"/>
          <w:szCs w:val="24"/>
          <w:lang w:val="ro-RO"/>
        </w:rPr>
        <w:t>itate şi Sănătate în Muncă au efectuat 18 controale, au dispus 85 de măsuri şi au aplicat amenzi în cuantum de 48.500 de lei.</w:t>
      </w:r>
    </w:p>
    <w:p w:rsidR="00DE0C87" w:rsidRPr="000C038E" w:rsidRDefault="00DE0C87" w:rsidP="00DE0C87">
      <w:pPr>
        <w:ind w:left="993" w:right="324"/>
        <w:jc w:val="both"/>
        <w:rPr>
          <w:sz w:val="24"/>
          <w:szCs w:val="24"/>
          <w:lang w:val="ro-RO"/>
        </w:rPr>
      </w:pPr>
    </w:p>
    <w:p w:rsidR="000C038E" w:rsidRDefault="000C038E" w:rsidP="00B605D4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92" w:rsidRDefault="00E74392" w:rsidP="00CD5B3B">
      <w:r>
        <w:separator/>
      </w:r>
    </w:p>
  </w:endnote>
  <w:endnote w:type="continuationSeparator" w:id="0">
    <w:p w:rsidR="00E74392" w:rsidRDefault="00E7439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E74392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E74392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E74392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92" w:rsidRDefault="00E74392" w:rsidP="00CD5B3B">
      <w:r>
        <w:separator/>
      </w:r>
    </w:p>
  </w:footnote>
  <w:footnote w:type="continuationSeparator" w:id="0">
    <w:p w:rsidR="00E74392" w:rsidRDefault="00E7439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E74392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3B3"/>
    <w:rsid w:val="000767C9"/>
    <w:rsid w:val="00092135"/>
    <w:rsid w:val="00092C9F"/>
    <w:rsid w:val="000A0812"/>
    <w:rsid w:val="000A5886"/>
    <w:rsid w:val="000A59DA"/>
    <w:rsid w:val="000C038E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C22E9"/>
    <w:rsid w:val="001E03C9"/>
    <w:rsid w:val="001F3097"/>
    <w:rsid w:val="001F456F"/>
    <w:rsid w:val="001F5132"/>
    <w:rsid w:val="001F5F19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C7170"/>
    <w:rsid w:val="004D5B02"/>
    <w:rsid w:val="004E6163"/>
    <w:rsid w:val="004F58F6"/>
    <w:rsid w:val="004F713C"/>
    <w:rsid w:val="005017AB"/>
    <w:rsid w:val="00520545"/>
    <w:rsid w:val="005459B7"/>
    <w:rsid w:val="005459DD"/>
    <w:rsid w:val="00546F3D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5F6E69"/>
    <w:rsid w:val="006056F6"/>
    <w:rsid w:val="006079C2"/>
    <w:rsid w:val="006101BB"/>
    <w:rsid w:val="00621EE6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06B0"/>
    <w:rsid w:val="006C50E6"/>
    <w:rsid w:val="006D7B7A"/>
    <w:rsid w:val="006E6C28"/>
    <w:rsid w:val="006F16AE"/>
    <w:rsid w:val="00706765"/>
    <w:rsid w:val="0071655A"/>
    <w:rsid w:val="00720041"/>
    <w:rsid w:val="00720495"/>
    <w:rsid w:val="00722BEC"/>
    <w:rsid w:val="007311E8"/>
    <w:rsid w:val="0073607B"/>
    <w:rsid w:val="00766E0E"/>
    <w:rsid w:val="00773645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16F39"/>
    <w:rsid w:val="0082358E"/>
    <w:rsid w:val="0082382E"/>
    <w:rsid w:val="00831C48"/>
    <w:rsid w:val="0084071D"/>
    <w:rsid w:val="00851104"/>
    <w:rsid w:val="0085133C"/>
    <w:rsid w:val="00854B75"/>
    <w:rsid w:val="00862A0A"/>
    <w:rsid w:val="0087229D"/>
    <w:rsid w:val="00872F52"/>
    <w:rsid w:val="00891A60"/>
    <w:rsid w:val="008A2AC0"/>
    <w:rsid w:val="008B04F5"/>
    <w:rsid w:val="008D5B0F"/>
    <w:rsid w:val="008E2416"/>
    <w:rsid w:val="008E4C72"/>
    <w:rsid w:val="008E6478"/>
    <w:rsid w:val="008E69F4"/>
    <w:rsid w:val="0090539B"/>
    <w:rsid w:val="00912ED3"/>
    <w:rsid w:val="00915096"/>
    <w:rsid w:val="00927367"/>
    <w:rsid w:val="00931BD9"/>
    <w:rsid w:val="009429FA"/>
    <w:rsid w:val="00946290"/>
    <w:rsid w:val="009510DA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B5CCA"/>
    <w:rsid w:val="00AC6A9A"/>
    <w:rsid w:val="00AD3D3F"/>
    <w:rsid w:val="00AD41DA"/>
    <w:rsid w:val="00AE0440"/>
    <w:rsid w:val="00AE26B4"/>
    <w:rsid w:val="00AF3A6E"/>
    <w:rsid w:val="00B11A9E"/>
    <w:rsid w:val="00B132AF"/>
    <w:rsid w:val="00B13BB4"/>
    <w:rsid w:val="00B302B4"/>
    <w:rsid w:val="00B329AE"/>
    <w:rsid w:val="00B3354B"/>
    <w:rsid w:val="00B33F0B"/>
    <w:rsid w:val="00B46331"/>
    <w:rsid w:val="00B55704"/>
    <w:rsid w:val="00B605D4"/>
    <w:rsid w:val="00B62CF4"/>
    <w:rsid w:val="00B83372"/>
    <w:rsid w:val="00B864C3"/>
    <w:rsid w:val="00B92899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64E3"/>
    <w:rsid w:val="00C20EF1"/>
    <w:rsid w:val="00C30FB1"/>
    <w:rsid w:val="00C4665A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0EC0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0C87"/>
    <w:rsid w:val="00DE5EBE"/>
    <w:rsid w:val="00DF6CC4"/>
    <w:rsid w:val="00E1432E"/>
    <w:rsid w:val="00E562FC"/>
    <w:rsid w:val="00E56560"/>
    <w:rsid w:val="00E63482"/>
    <w:rsid w:val="00E72128"/>
    <w:rsid w:val="00E74392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D6583"/>
    <w:rsid w:val="00EE5090"/>
    <w:rsid w:val="00EF1016"/>
    <w:rsid w:val="00EF3048"/>
    <w:rsid w:val="00F00318"/>
    <w:rsid w:val="00F02CDF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E062-78B2-4BE6-9DA2-167F585E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5053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Matei Maria</cp:lastModifiedBy>
  <cp:revision>109</cp:revision>
  <cp:lastPrinted>2019-08-12T08:40:00Z</cp:lastPrinted>
  <dcterms:created xsi:type="dcterms:W3CDTF">2019-01-08T11:01:00Z</dcterms:created>
  <dcterms:modified xsi:type="dcterms:W3CDTF">2019-08-12T09:19:00Z</dcterms:modified>
</cp:coreProperties>
</file>