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DB2" w:rsidRPr="00703E09" w:rsidRDefault="00A41DB2" w:rsidP="00242D2F">
      <w:pPr>
        <w:jc w:val="both"/>
        <w:rPr>
          <w:rFonts w:ascii="Trebuchet MS" w:hAnsi="Trebuchet MS"/>
          <w:b/>
          <w:sz w:val="24"/>
          <w:szCs w:val="24"/>
        </w:rPr>
      </w:pPr>
    </w:p>
    <w:p w:rsidR="00A41DB2" w:rsidRPr="00703E09" w:rsidRDefault="00A41DB2" w:rsidP="00A41DB2">
      <w:pPr>
        <w:jc w:val="center"/>
        <w:rPr>
          <w:rFonts w:ascii="Trebuchet MS" w:hAnsi="Trebuchet MS"/>
          <w:b/>
          <w:sz w:val="24"/>
          <w:szCs w:val="24"/>
        </w:rPr>
      </w:pPr>
      <w:proofErr w:type="gramStart"/>
      <w:r w:rsidRPr="00703E09">
        <w:rPr>
          <w:rFonts w:ascii="Trebuchet MS" w:hAnsi="Trebuchet MS"/>
          <w:b/>
          <w:i/>
          <w:sz w:val="24"/>
          <w:szCs w:val="24"/>
        </w:rPr>
        <w:t>Acţiune de control vizând modul de respectare a cerinţelor minime de securitate şi sănătate în muncă pentru protecţia lucrătorilor împotriva riscurilor legate de expunerea la agenţi chimici periculoşi la locul de muncă</w:t>
      </w:r>
      <w:r w:rsidRPr="00703E09">
        <w:rPr>
          <w:rFonts w:ascii="Trebuchet MS" w:hAnsi="Trebuchet MS"/>
          <w:b/>
          <w:sz w:val="24"/>
          <w:szCs w:val="24"/>
        </w:rPr>
        <w:t>.</w:t>
      </w:r>
      <w:proofErr w:type="gramEnd"/>
    </w:p>
    <w:p w:rsidR="00A41DB2" w:rsidRPr="00703E09" w:rsidRDefault="00703E09" w:rsidP="00703E09">
      <w:pPr>
        <w:jc w:val="center"/>
        <w:rPr>
          <w:rFonts w:ascii="Trebuchet MS" w:hAnsi="Trebuchet MS"/>
          <w:b/>
          <w:sz w:val="24"/>
          <w:szCs w:val="24"/>
        </w:rPr>
      </w:pPr>
      <w:r>
        <w:rPr>
          <w:rFonts w:ascii="Trebuchet MS" w:hAnsi="Trebuchet MS"/>
          <w:b/>
          <w:sz w:val="24"/>
          <w:szCs w:val="24"/>
        </w:rPr>
        <w:t>2024</w:t>
      </w:r>
    </w:p>
    <w:p w:rsidR="00056B66" w:rsidRPr="00703E09" w:rsidRDefault="00242D2F" w:rsidP="00242D2F">
      <w:pPr>
        <w:jc w:val="both"/>
        <w:rPr>
          <w:rFonts w:ascii="Trebuchet MS" w:hAnsi="Trebuchet MS"/>
          <w:sz w:val="24"/>
          <w:szCs w:val="24"/>
        </w:rPr>
      </w:pPr>
      <w:r w:rsidRPr="00703E09">
        <w:rPr>
          <w:rFonts w:ascii="Trebuchet MS" w:hAnsi="Trebuchet MS"/>
          <w:b/>
          <w:sz w:val="24"/>
          <w:szCs w:val="24"/>
        </w:rPr>
        <w:t>Substanțele chimice</w:t>
      </w:r>
      <w:r w:rsidRPr="00703E09">
        <w:rPr>
          <w:rFonts w:ascii="Trebuchet MS" w:hAnsi="Trebuchet MS"/>
          <w:sz w:val="24"/>
          <w:szCs w:val="24"/>
        </w:rPr>
        <w:t xml:space="preserve"> sunt peste tot în viața noastră de zi cu zi și joacă </w:t>
      </w:r>
      <w:proofErr w:type="gramStart"/>
      <w:r w:rsidRPr="00703E09">
        <w:rPr>
          <w:rFonts w:ascii="Trebuchet MS" w:hAnsi="Trebuchet MS"/>
          <w:sz w:val="24"/>
          <w:szCs w:val="24"/>
        </w:rPr>
        <w:t>un</w:t>
      </w:r>
      <w:proofErr w:type="gramEnd"/>
      <w:r w:rsidRPr="00703E09">
        <w:rPr>
          <w:rFonts w:ascii="Trebuchet MS" w:hAnsi="Trebuchet MS"/>
          <w:sz w:val="24"/>
          <w:szCs w:val="24"/>
        </w:rPr>
        <w:t xml:space="preserve"> rol fundamental în majoritatea activităților noastre deoarece ele se regăsesc, în principiu, în toate dispozitivele pe care le folosim pentru a ne asigura bunăstarea, pentru a ne proteja sănătatea și securitatea și pentru a face față noilor provocări prin inovare. </w:t>
      </w:r>
      <w:proofErr w:type="gramStart"/>
      <w:r w:rsidRPr="00703E09">
        <w:rPr>
          <w:rFonts w:ascii="Trebuchet MS" w:hAnsi="Trebuchet MS"/>
          <w:sz w:val="24"/>
          <w:szCs w:val="24"/>
        </w:rPr>
        <w:t>În același timp, substanțele chimice cu proprietăți periculoase pot dăuna sănătății umane și mediului.</w:t>
      </w:r>
      <w:proofErr w:type="gramEnd"/>
      <w:r w:rsidRPr="00703E09">
        <w:rPr>
          <w:rFonts w:ascii="Trebuchet MS" w:hAnsi="Trebuchet MS"/>
          <w:sz w:val="24"/>
          <w:szCs w:val="24"/>
        </w:rPr>
        <w:t xml:space="preserve"> </w:t>
      </w:r>
      <w:proofErr w:type="gramStart"/>
      <w:r w:rsidRPr="00703E09">
        <w:rPr>
          <w:rFonts w:ascii="Trebuchet MS" w:hAnsi="Trebuchet MS"/>
          <w:sz w:val="24"/>
          <w:szCs w:val="24"/>
        </w:rPr>
        <w:t>Deși nu toate substanțele chimice periculoase ridică aceleași probleme, anumite substanțe chimice cauzează cancer, afectează sistemele imunitar, respirator, endocrin, reproductiv și cardiovascular, slăbesc reziliența umană și capacitatea de răspuns la vaccinuri și sporesc vulnerabilitatea la boli.</w:t>
      </w:r>
      <w:proofErr w:type="gramEnd"/>
      <w:r w:rsidRPr="00703E09">
        <w:rPr>
          <w:rFonts w:ascii="Trebuchet MS" w:hAnsi="Trebuchet MS"/>
          <w:sz w:val="24"/>
          <w:szCs w:val="24"/>
        </w:rPr>
        <w:t xml:space="preserve"> </w:t>
      </w:r>
      <w:proofErr w:type="gramStart"/>
      <w:r w:rsidRPr="00703E09">
        <w:rPr>
          <w:rFonts w:ascii="Trebuchet MS" w:hAnsi="Trebuchet MS"/>
          <w:sz w:val="24"/>
          <w:szCs w:val="24"/>
        </w:rPr>
        <w:t>Expunerea la aceste substanțe chimice dăunătoare constituie, prin urmare, o amenințare pentru sănătatea umană.</w:t>
      </w:r>
      <w:proofErr w:type="gramEnd"/>
    </w:p>
    <w:p w:rsidR="00242D2F" w:rsidRPr="00703E09" w:rsidRDefault="00242D2F" w:rsidP="00242D2F">
      <w:pPr>
        <w:spacing w:before="120"/>
        <w:jc w:val="both"/>
        <w:rPr>
          <w:rFonts w:ascii="Trebuchet MS" w:hAnsi="Trebuchet MS"/>
          <w:sz w:val="24"/>
          <w:szCs w:val="24"/>
        </w:rPr>
      </w:pPr>
      <w:r w:rsidRPr="00703E09">
        <w:rPr>
          <w:rFonts w:ascii="Trebuchet MS" w:hAnsi="Trebuchet MS"/>
          <w:sz w:val="24"/>
          <w:szCs w:val="24"/>
        </w:rPr>
        <w:t>UE a avut în mod incontestabil succes în ceea ce privește crearea unei piețe interne care funcționează eficient pentru substanțele chimice și în reducerea riscurilor, pentru oameni și pentru mediu, pe care le prezintă anumite substanțe chimice periculoase, cum ar fi agenții cancerigeni și metalele grele, precum și în asigurarea unui cadru legislativ previzibil pentru funcționarea întreprinderilor.</w:t>
      </w:r>
    </w:p>
    <w:p w:rsidR="00242D2F" w:rsidRPr="00703E09" w:rsidRDefault="00242D2F" w:rsidP="00242D2F">
      <w:pPr>
        <w:spacing w:before="120"/>
        <w:jc w:val="both"/>
        <w:rPr>
          <w:rFonts w:ascii="Trebuchet MS" w:hAnsi="Trebuchet MS"/>
          <w:b/>
          <w:sz w:val="24"/>
          <w:szCs w:val="24"/>
        </w:rPr>
      </w:pPr>
      <w:r w:rsidRPr="00703E09">
        <w:rPr>
          <w:rFonts w:ascii="Trebuchet MS" w:hAnsi="Trebuchet MS"/>
          <w:sz w:val="24"/>
          <w:szCs w:val="24"/>
        </w:rPr>
        <w:t xml:space="preserve">Cu toate acestea, pentru a dezvolta și utiliza substanțele chimice sustenabile care facilitează tranziția verde și tranziția digitală și pentru a proteja mediul și sănătatea umană, în special a grupurilor vulnerabile, </w:t>
      </w:r>
      <w:r w:rsidRPr="00703E09">
        <w:rPr>
          <w:rFonts w:ascii="Trebuchet MS" w:hAnsi="Trebuchet MS"/>
          <w:b/>
          <w:sz w:val="24"/>
          <w:szCs w:val="24"/>
        </w:rPr>
        <w:t>trebuie intensificată inovarea în vederea tranziției verzi în industria chimică și în lanțurile sale valorice, iar politica actuală a UE în domeniul substanțelor chimice trebuie îmbunătățită și trebuie să răspundă cu mai mare rapiditate și eficacitate provocărilor pe care le ridică substanțele chimice periculoase.</w:t>
      </w:r>
    </w:p>
    <w:p w:rsidR="00242D2F" w:rsidRPr="00703E09" w:rsidRDefault="00242D2F" w:rsidP="00242D2F">
      <w:pPr>
        <w:jc w:val="both"/>
        <w:rPr>
          <w:rFonts w:ascii="Trebuchet MS" w:hAnsi="Trebuchet MS"/>
          <w:sz w:val="24"/>
          <w:szCs w:val="24"/>
        </w:rPr>
      </w:pPr>
      <w:r w:rsidRPr="00703E09">
        <w:rPr>
          <w:rFonts w:ascii="Trebuchet MS" w:hAnsi="Trebuchet MS"/>
          <w:sz w:val="24"/>
          <w:szCs w:val="24"/>
        </w:rPr>
        <w:t xml:space="preserve">Având în vedere importanţa acordată la nivel european protecţiei lucrătorilor împotriva riscurilor legate de expunerea la agenţi chimici periculoşi la locurile de muncă şi necesitatea elaborării rapoartelor naţionale privind punerea în aplicare a directivelor/regulamentelor europene specifice, a fost inclusă în Programul cadru de acţiuni al Inspecţiei Muncii pentru anul 2024 prezenta </w:t>
      </w:r>
      <w:r w:rsidRPr="00703E09">
        <w:rPr>
          <w:rFonts w:ascii="Trebuchet MS" w:hAnsi="Trebuchet MS"/>
          <w:i/>
          <w:sz w:val="24"/>
          <w:szCs w:val="24"/>
        </w:rPr>
        <w:t>Acţiune de control vizând modul de respectare a cerinţelor minime de securitate şi sănătate în muncă pentru protecţia lucrătorilor împotriva riscurilor legate de expunerea la agenţi chimici periculoşi la locul de muncă</w:t>
      </w:r>
      <w:r w:rsidRPr="00703E09">
        <w:rPr>
          <w:rFonts w:ascii="Trebuchet MS" w:hAnsi="Trebuchet MS"/>
          <w:sz w:val="24"/>
          <w:szCs w:val="24"/>
        </w:rPr>
        <w:t xml:space="preserve">. </w:t>
      </w:r>
    </w:p>
    <w:p w:rsidR="00703E09" w:rsidRDefault="00703E09" w:rsidP="00242D2F">
      <w:pPr>
        <w:jc w:val="both"/>
        <w:rPr>
          <w:rFonts w:ascii="Trebuchet MS" w:hAnsi="Trebuchet MS"/>
          <w:sz w:val="24"/>
          <w:szCs w:val="24"/>
        </w:rPr>
      </w:pPr>
    </w:p>
    <w:p w:rsidR="00242D2F" w:rsidRPr="00703E09" w:rsidRDefault="00242D2F" w:rsidP="00242D2F">
      <w:pPr>
        <w:jc w:val="both"/>
        <w:rPr>
          <w:rFonts w:ascii="Trebuchet MS" w:hAnsi="Trebuchet MS"/>
          <w:sz w:val="24"/>
          <w:szCs w:val="24"/>
        </w:rPr>
      </w:pPr>
      <w:r w:rsidRPr="00703E09">
        <w:rPr>
          <w:rFonts w:ascii="Trebuchet MS" w:hAnsi="Trebuchet MS"/>
          <w:sz w:val="24"/>
          <w:szCs w:val="24"/>
        </w:rPr>
        <w:t xml:space="preserve">În scopul punerii în practică a celor menţionate mai sus, această acţiune </w:t>
      </w:r>
      <w:proofErr w:type="gramStart"/>
      <w:r w:rsidRPr="00703E09">
        <w:rPr>
          <w:rFonts w:ascii="Trebuchet MS" w:hAnsi="Trebuchet MS"/>
          <w:sz w:val="24"/>
          <w:szCs w:val="24"/>
        </w:rPr>
        <w:t>va</w:t>
      </w:r>
      <w:proofErr w:type="gramEnd"/>
      <w:r w:rsidRPr="00703E09">
        <w:rPr>
          <w:rFonts w:ascii="Trebuchet MS" w:hAnsi="Trebuchet MS"/>
          <w:sz w:val="24"/>
          <w:szCs w:val="24"/>
        </w:rPr>
        <w:t xml:space="preserve"> urmări cu prioritate unele substanţe care prezintă un pericol deosebit pentru securitatea şi sănătatea lucrătorilor şi care fac obiectul unor reglementări speciale.</w:t>
      </w:r>
    </w:p>
    <w:p w:rsidR="00242D2F" w:rsidRPr="00703E09" w:rsidRDefault="00242D2F" w:rsidP="00242D2F">
      <w:pPr>
        <w:jc w:val="both"/>
        <w:rPr>
          <w:rFonts w:ascii="Trebuchet MS" w:hAnsi="Trebuchet MS"/>
          <w:sz w:val="24"/>
          <w:szCs w:val="24"/>
        </w:rPr>
      </w:pPr>
      <w:proofErr w:type="gramStart"/>
      <w:r w:rsidRPr="00703E09">
        <w:rPr>
          <w:rFonts w:ascii="Trebuchet MS" w:hAnsi="Trebuchet MS"/>
          <w:b/>
          <w:sz w:val="24"/>
          <w:szCs w:val="24"/>
        </w:rPr>
        <w:t>Diizocianații</w:t>
      </w:r>
      <w:r w:rsidRPr="00703E09">
        <w:rPr>
          <w:rFonts w:ascii="Trebuchet MS" w:hAnsi="Trebuchet MS"/>
          <w:sz w:val="24"/>
          <w:szCs w:val="24"/>
        </w:rPr>
        <w:t xml:space="preserve"> sunt utilizați la fabricarea poliuretanului atât ca material solid, cât și ca spumă, materiale plastice, acoperiri, lacuri, vopsele în două componente și adezivi.</w:t>
      </w:r>
      <w:proofErr w:type="gramEnd"/>
      <w:r w:rsidRPr="00703E09">
        <w:rPr>
          <w:rFonts w:ascii="Trebuchet MS" w:hAnsi="Trebuchet MS"/>
          <w:sz w:val="24"/>
          <w:szCs w:val="24"/>
        </w:rPr>
        <w:t xml:space="preserve"> Lucrătorii din companiile care produc aceste materiale sunt expuși, la fel ca și lucrătorii care folosesc adezivi, agenţi de etanșare, vopsele și acoperiri care conțin diizocianați. Aceste produse sunt utilizate pe scară largă în construcții, reparații de vehicule, reparații generale, textile, mobilier și fabricarea de autovehicule, alte transporturi, aparate electrocasnice, mașini și calculatoare. </w:t>
      </w:r>
      <w:proofErr w:type="gramStart"/>
      <w:r w:rsidRPr="00703E09">
        <w:rPr>
          <w:rFonts w:ascii="Trebuchet MS" w:hAnsi="Trebuchet MS"/>
          <w:sz w:val="24"/>
          <w:szCs w:val="24"/>
        </w:rPr>
        <w:t>Diizocianații sunt transformați în timpul procesului de producție și nu mai sunt prezenți în produsul final fabricat și, prin urmare, nu există niciun risc pentru utilizatorul produsului.</w:t>
      </w:r>
      <w:proofErr w:type="gramEnd"/>
      <w:r w:rsidRPr="00703E09">
        <w:rPr>
          <w:rFonts w:ascii="Trebuchet MS" w:hAnsi="Trebuchet MS"/>
          <w:sz w:val="24"/>
          <w:szCs w:val="24"/>
        </w:rPr>
        <w:t xml:space="preserve"> Potrivit estimărilor, în UE aproximativ 4,2 milioane de lucrători sunt expuși la diizocianați și peste 2,4 milioane de companii din UE sunt vizate, marea majoritate fiind microîntreprinderi sau IMM-uri. În prezent, există 19 diizocianaţi înregistraţi individual în conformitate cu REACH, cu unele variații în utilizare, efectele asupra sănătății fiind cauzate de o parte comună a tuturor diizocianaților (grupul NCO).</w:t>
      </w:r>
    </w:p>
    <w:p w:rsidR="00242D2F" w:rsidRPr="00703E09" w:rsidRDefault="00242D2F" w:rsidP="00242D2F">
      <w:pPr>
        <w:jc w:val="both"/>
        <w:rPr>
          <w:rFonts w:ascii="Trebuchet MS" w:hAnsi="Trebuchet MS"/>
          <w:sz w:val="24"/>
          <w:szCs w:val="24"/>
        </w:rPr>
      </w:pPr>
      <w:proofErr w:type="gramStart"/>
      <w:r w:rsidRPr="00703E09">
        <w:rPr>
          <w:rFonts w:ascii="Trebuchet MS" w:hAnsi="Trebuchet MS"/>
          <w:b/>
          <w:sz w:val="24"/>
          <w:szCs w:val="24"/>
        </w:rPr>
        <w:t>Plumbul</w:t>
      </w:r>
      <w:r w:rsidRPr="00703E09">
        <w:rPr>
          <w:rFonts w:ascii="Trebuchet MS" w:hAnsi="Trebuchet MS"/>
          <w:sz w:val="24"/>
          <w:szCs w:val="24"/>
        </w:rPr>
        <w:t xml:space="preserve"> și compușii săi anorganici (denumiţi în continuare „plumb”) sunt substanțe toxice pentru reproducere care pot afecta atât fertilitatea, cât și dezvoltarea fătului.</w:t>
      </w:r>
      <w:proofErr w:type="gramEnd"/>
      <w:r w:rsidRPr="00703E09">
        <w:rPr>
          <w:rFonts w:ascii="Trebuchet MS" w:hAnsi="Trebuchet MS"/>
          <w:sz w:val="24"/>
          <w:szCs w:val="24"/>
        </w:rPr>
        <w:t xml:space="preserve"> Plumbul </w:t>
      </w:r>
      <w:proofErr w:type="gramStart"/>
      <w:r w:rsidRPr="00703E09">
        <w:rPr>
          <w:rFonts w:ascii="Trebuchet MS" w:hAnsi="Trebuchet MS"/>
          <w:sz w:val="24"/>
          <w:szCs w:val="24"/>
        </w:rPr>
        <w:t>este</w:t>
      </w:r>
      <w:proofErr w:type="gramEnd"/>
      <w:r w:rsidRPr="00703E09">
        <w:rPr>
          <w:rFonts w:ascii="Trebuchet MS" w:hAnsi="Trebuchet MS"/>
          <w:sz w:val="24"/>
          <w:szCs w:val="24"/>
        </w:rPr>
        <w:t xml:space="preserve"> utilizat în prezent pentru o mare varietate de aplicații. În plus, lucrătorii pot fi expuși la niveluri semnificative la plumb din cauza aplicațiilor istorice în activități precum renovarea, colectarea deșeurilor, reciclarea și remedierea. Se estimează că aproximativ 50 000 până la 150 000 de lucrători din UE sunt expuși la plumb. Determinarea unui număr precis este dificilă, deoarece lucrătorii din sectoare precum demolarea și gestionarea deșeurilor, precum și cei care folosesc articole din plumb metalic pot fi expuși doar ocazional la plumb, dar uneori la niveluri relativ ridicate. Aproximativ 300 de cazuri de probleme de sănătate apar în fiecare an în UE ca urmare </w:t>
      </w:r>
      <w:proofErr w:type="gramStart"/>
      <w:r w:rsidRPr="00703E09">
        <w:rPr>
          <w:rFonts w:ascii="Trebuchet MS" w:hAnsi="Trebuchet MS"/>
          <w:sz w:val="24"/>
          <w:szCs w:val="24"/>
        </w:rPr>
        <w:t>a</w:t>
      </w:r>
      <w:proofErr w:type="gramEnd"/>
      <w:r w:rsidRPr="00703E09">
        <w:rPr>
          <w:rFonts w:ascii="Trebuchet MS" w:hAnsi="Trebuchet MS"/>
          <w:sz w:val="24"/>
          <w:szCs w:val="24"/>
        </w:rPr>
        <w:t xml:space="preserve"> expunerii profesionale la plumb în perioada anterioară. Această expunere </w:t>
      </w:r>
      <w:proofErr w:type="gramStart"/>
      <w:r w:rsidRPr="00703E09">
        <w:rPr>
          <w:rFonts w:ascii="Trebuchet MS" w:hAnsi="Trebuchet MS"/>
          <w:sz w:val="24"/>
          <w:szCs w:val="24"/>
        </w:rPr>
        <w:t>este</w:t>
      </w:r>
      <w:proofErr w:type="gramEnd"/>
      <w:r w:rsidRPr="00703E09">
        <w:rPr>
          <w:rFonts w:ascii="Trebuchet MS" w:hAnsi="Trebuchet MS"/>
          <w:sz w:val="24"/>
          <w:szCs w:val="24"/>
        </w:rPr>
        <w:t xml:space="preserve"> importantă datorită posibilității de acumulare a plumbului în oase, contribuind astfel la apariţia unei boli cronice legate de prezenţa plumbului în organism. </w:t>
      </w:r>
    </w:p>
    <w:p w:rsidR="00242D2F" w:rsidRPr="00703E09" w:rsidRDefault="00242D2F" w:rsidP="00242D2F">
      <w:pPr>
        <w:jc w:val="both"/>
        <w:rPr>
          <w:rFonts w:ascii="Trebuchet MS" w:hAnsi="Trebuchet MS"/>
          <w:sz w:val="24"/>
          <w:szCs w:val="24"/>
        </w:rPr>
      </w:pPr>
      <w:r w:rsidRPr="00703E09">
        <w:rPr>
          <w:rFonts w:ascii="Trebuchet MS" w:hAnsi="Trebuchet MS"/>
          <w:b/>
          <w:sz w:val="24"/>
          <w:szCs w:val="24"/>
        </w:rPr>
        <w:t>Tricloroetilena şi tetracloroetilena</w:t>
      </w:r>
      <w:r w:rsidRPr="00703E09">
        <w:rPr>
          <w:rFonts w:ascii="Trebuchet MS" w:hAnsi="Trebuchet MS"/>
          <w:sz w:val="24"/>
          <w:szCs w:val="24"/>
        </w:rPr>
        <w:t>, sunt solvenţi cu utilizări multiple, dar care, la fel ca majoritatea hidrocarburilor alifatice clorurate, afectează sistemul nervos central, dar sunt toxice şi la nivelul rinichilor, ficatului, sistemului reproductiv etc., precum şi potenţial cancerigene, ca urmare se recomandă, acolo unde este posibil, substituirea acestora.</w:t>
      </w:r>
    </w:p>
    <w:p w:rsidR="00703E09" w:rsidRDefault="00703E09" w:rsidP="00242D2F">
      <w:pPr>
        <w:jc w:val="both"/>
        <w:rPr>
          <w:rFonts w:ascii="Trebuchet MS" w:hAnsi="Trebuchet MS"/>
          <w:b/>
          <w:sz w:val="24"/>
          <w:szCs w:val="24"/>
        </w:rPr>
      </w:pPr>
    </w:p>
    <w:p w:rsidR="00242D2F" w:rsidRPr="00703E09" w:rsidRDefault="00242D2F" w:rsidP="00242D2F">
      <w:pPr>
        <w:jc w:val="both"/>
        <w:rPr>
          <w:rFonts w:ascii="Trebuchet MS" w:hAnsi="Trebuchet MS"/>
          <w:sz w:val="24"/>
          <w:szCs w:val="24"/>
        </w:rPr>
      </w:pPr>
      <w:r w:rsidRPr="00703E09">
        <w:rPr>
          <w:rFonts w:ascii="Trebuchet MS" w:hAnsi="Trebuchet MS"/>
          <w:b/>
          <w:sz w:val="24"/>
          <w:szCs w:val="24"/>
        </w:rPr>
        <w:lastRenderedPageBreak/>
        <w:t>Cadmiul</w:t>
      </w:r>
      <w:r w:rsidRPr="00703E09">
        <w:rPr>
          <w:rFonts w:ascii="Trebuchet MS" w:hAnsi="Trebuchet MS"/>
          <w:sz w:val="24"/>
          <w:szCs w:val="24"/>
        </w:rPr>
        <w:t xml:space="preserve"> este folosit în galvanizare, la obținerea aliajelor (nichel, cupru, aur, argint, bismut și aluminiu) şi în fabricarea de baterii din nichel și cadmiu, baterii reîncărcabile care se găsesc în telefoanele mobile și în echipamentele fără fir.</w:t>
      </w:r>
    </w:p>
    <w:p w:rsidR="00242D2F" w:rsidRPr="00703E09" w:rsidRDefault="00242D2F" w:rsidP="00242D2F">
      <w:pPr>
        <w:jc w:val="both"/>
        <w:rPr>
          <w:rFonts w:ascii="Trebuchet MS" w:hAnsi="Trebuchet MS"/>
          <w:sz w:val="24"/>
          <w:szCs w:val="24"/>
        </w:rPr>
      </w:pPr>
      <w:r w:rsidRPr="00703E09">
        <w:rPr>
          <w:rFonts w:ascii="Trebuchet MS" w:hAnsi="Trebuchet MS"/>
          <w:sz w:val="24"/>
          <w:szCs w:val="24"/>
        </w:rPr>
        <w:t xml:space="preserve">Conform rubricii 23 din anexa XVII la Regulamentul privind înregistrarea, evaluarea, autorizarea și restricționarea substanțelor chimice („REACH”), sunt interzise mai multe utilizări ale cadmiului, precum utilizarea cadmiului în amestecuri sau în articole fabricate din anumite materiale plastice, în anumite vopsele și în articolele vopsite, în materiale de adaos pentru bijuterii. De asemenea, REACH interzice folosirea cadmiului în articolele metalice folosite în producția alimentară, în agricultură, în echipamentele de răcire și de congelare, în sectorul mașinilor de tipărit și legat cărți, precum și în mașinile și echipamentele pentru numeroase alte aplicații. </w:t>
      </w:r>
    </w:p>
    <w:p w:rsidR="00242D2F" w:rsidRPr="00703E09" w:rsidRDefault="00242D2F" w:rsidP="00242D2F">
      <w:pPr>
        <w:jc w:val="both"/>
        <w:rPr>
          <w:rFonts w:ascii="Trebuchet MS" w:hAnsi="Trebuchet MS"/>
          <w:sz w:val="24"/>
          <w:szCs w:val="24"/>
        </w:rPr>
      </w:pPr>
      <w:r w:rsidRPr="00703E09">
        <w:rPr>
          <w:rFonts w:ascii="Trebuchet MS" w:hAnsi="Trebuchet MS"/>
          <w:sz w:val="24"/>
          <w:szCs w:val="24"/>
        </w:rPr>
        <w:t xml:space="preserve">Cadmiul fiind o substanță cancerigenă de categoria 1B, conform articolului 28 din anexa XVII </w:t>
      </w:r>
      <w:proofErr w:type="gramStart"/>
      <w:r w:rsidRPr="00703E09">
        <w:rPr>
          <w:rFonts w:ascii="Trebuchet MS" w:hAnsi="Trebuchet MS"/>
          <w:sz w:val="24"/>
          <w:szCs w:val="24"/>
        </w:rPr>
        <w:t>la</w:t>
      </w:r>
      <w:proofErr w:type="gramEnd"/>
      <w:r w:rsidRPr="00703E09">
        <w:rPr>
          <w:rFonts w:ascii="Trebuchet MS" w:hAnsi="Trebuchet MS"/>
          <w:sz w:val="24"/>
          <w:szCs w:val="24"/>
        </w:rPr>
        <w:t xml:space="preserve"> REACH, este interzisă introducerea sa pe piață sau utilizarea sa în substanțe, în constituenți al altor substanțe sau în amestecuri destinate folosirii de către publicul larg.</w:t>
      </w:r>
    </w:p>
    <w:p w:rsidR="00242D2F" w:rsidRPr="00703E09" w:rsidRDefault="00242D2F" w:rsidP="00242D2F">
      <w:pPr>
        <w:jc w:val="both"/>
        <w:rPr>
          <w:rFonts w:ascii="Trebuchet MS" w:hAnsi="Trebuchet MS"/>
          <w:sz w:val="24"/>
          <w:szCs w:val="24"/>
        </w:rPr>
      </w:pPr>
      <w:r w:rsidRPr="00703E09">
        <w:rPr>
          <w:rFonts w:ascii="Trebuchet MS" w:hAnsi="Trebuchet MS"/>
          <w:sz w:val="24"/>
          <w:szCs w:val="24"/>
        </w:rPr>
        <w:t xml:space="preserve">În temeiul Directivei 2011/65, utilizarea cadmiului în echipamentele electrice și electronice (EEE) </w:t>
      </w:r>
      <w:proofErr w:type="gramStart"/>
      <w:r w:rsidRPr="00703E09">
        <w:rPr>
          <w:rFonts w:ascii="Trebuchet MS" w:hAnsi="Trebuchet MS"/>
          <w:sz w:val="24"/>
          <w:szCs w:val="24"/>
        </w:rPr>
        <w:t>este</w:t>
      </w:r>
      <w:proofErr w:type="gramEnd"/>
      <w:r w:rsidRPr="00703E09">
        <w:rPr>
          <w:rFonts w:ascii="Trebuchet MS" w:hAnsi="Trebuchet MS"/>
          <w:sz w:val="24"/>
          <w:szCs w:val="24"/>
        </w:rPr>
        <w:t xml:space="preserve"> restricționată, cu excepția anumitor derogări temporare pentru aplicațiile specifice listate în anexele III și IV la directivă. Statele membre trebuie să se asigure că EEE introduse pe piață nu conțin cadmiu peste o concentrație maximă în valoare de 0</w:t>
      </w:r>
      <w:proofErr w:type="gramStart"/>
      <w:r w:rsidRPr="00703E09">
        <w:rPr>
          <w:rFonts w:ascii="Trebuchet MS" w:hAnsi="Trebuchet MS"/>
          <w:sz w:val="24"/>
          <w:szCs w:val="24"/>
        </w:rPr>
        <w:t>,01</w:t>
      </w:r>
      <w:proofErr w:type="gramEnd"/>
      <w:r w:rsidRPr="00703E09">
        <w:rPr>
          <w:rFonts w:ascii="Trebuchet MS" w:hAnsi="Trebuchet MS"/>
          <w:sz w:val="24"/>
          <w:szCs w:val="24"/>
        </w:rPr>
        <w:t xml:space="preserve"> % din greutate.</w:t>
      </w:r>
    </w:p>
    <w:p w:rsidR="00D87ADC" w:rsidRPr="00703E09" w:rsidRDefault="00D87ADC" w:rsidP="004D2C8D">
      <w:pPr>
        <w:jc w:val="both"/>
        <w:rPr>
          <w:rFonts w:ascii="Trebuchet MS" w:hAnsi="Trebuchet MS"/>
          <w:sz w:val="24"/>
          <w:szCs w:val="24"/>
        </w:rPr>
      </w:pPr>
    </w:p>
    <w:p w:rsidR="00D87ADC" w:rsidRPr="00703E09" w:rsidRDefault="00703E09" w:rsidP="004D2C8D">
      <w:pPr>
        <w:jc w:val="both"/>
        <w:rPr>
          <w:rFonts w:ascii="Trebuchet MS" w:hAnsi="Trebuchet MS"/>
          <w:sz w:val="24"/>
          <w:szCs w:val="24"/>
        </w:rPr>
      </w:pPr>
      <w:proofErr w:type="gramStart"/>
      <w:r w:rsidRPr="00703E09">
        <w:rPr>
          <w:rFonts w:ascii="Trebuchet MS" w:hAnsi="Trebuchet MS"/>
          <w:sz w:val="24"/>
          <w:szCs w:val="24"/>
        </w:rPr>
        <w:t>Inspectoratul Teritorial de Munca Ilfov organizeaza actiunile de control in cadrul acestei campanii, in cursul trimestrului IV al anului.</w:t>
      </w:r>
      <w:proofErr w:type="gramEnd"/>
      <w:r w:rsidRPr="00703E09">
        <w:rPr>
          <w:rFonts w:ascii="Trebuchet MS" w:hAnsi="Trebuchet MS"/>
          <w:sz w:val="24"/>
          <w:szCs w:val="24"/>
        </w:rPr>
        <w:t xml:space="preserve"> </w:t>
      </w:r>
    </w:p>
    <w:p w:rsidR="00703E09" w:rsidRPr="00703E09" w:rsidRDefault="00703E09" w:rsidP="004D2C8D">
      <w:pPr>
        <w:jc w:val="both"/>
        <w:rPr>
          <w:rFonts w:ascii="Trebuchet MS" w:eastAsia="MS Gothic" w:hAnsi="Trebuchet MS"/>
          <w:kern w:val="28"/>
          <w:sz w:val="24"/>
          <w:szCs w:val="24"/>
          <w:lang w:val="ro-RO"/>
        </w:rPr>
      </w:pPr>
      <w:r w:rsidRPr="00703E09">
        <w:rPr>
          <w:rFonts w:ascii="Trebuchet MS" w:hAnsi="Trebuchet MS"/>
          <w:sz w:val="24"/>
          <w:szCs w:val="24"/>
        </w:rPr>
        <w:t xml:space="preserve">De asemenea, la nivelul institutiei se </w:t>
      </w:r>
      <w:proofErr w:type="gramStart"/>
      <w:r w:rsidRPr="00703E09">
        <w:rPr>
          <w:rFonts w:ascii="Trebuchet MS" w:hAnsi="Trebuchet MS"/>
          <w:sz w:val="24"/>
          <w:szCs w:val="24"/>
        </w:rPr>
        <w:t>va</w:t>
      </w:r>
      <w:proofErr w:type="gramEnd"/>
      <w:r w:rsidRPr="00703E09">
        <w:rPr>
          <w:rFonts w:ascii="Trebuchet MS" w:hAnsi="Trebuchet MS"/>
          <w:sz w:val="24"/>
          <w:szCs w:val="24"/>
        </w:rPr>
        <w:t xml:space="preserve"> organiza in data de 20.11.2024, ora 11.00 o sesiune de informare / constientizare / indrumare a angajatorilor </w:t>
      </w:r>
      <w:r w:rsidRPr="00703E09">
        <w:rPr>
          <w:rFonts w:ascii="Trebuchet MS" w:eastAsia="MS Gothic" w:hAnsi="Trebuchet MS"/>
          <w:kern w:val="28"/>
          <w:sz w:val="24"/>
          <w:szCs w:val="24"/>
          <w:lang w:val="ro-RO"/>
        </w:rPr>
        <w:t>cu privire la utilizarea agenţilor chimici periculoşi (ACP).</w:t>
      </w:r>
    </w:p>
    <w:p w:rsidR="00703E09" w:rsidRPr="00703E09" w:rsidRDefault="00703E09" w:rsidP="004D2C8D">
      <w:pPr>
        <w:jc w:val="both"/>
        <w:rPr>
          <w:rFonts w:ascii="Trebuchet MS" w:eastAsia="MS Gothic" w:hAnsi="Trebuchet MS"/>
          <w:kern w:val="28"/>
          <w:sz w:val="24"/>
          <w:szCs w:val="24"/>
          <w:lang w:val="ro-RO"/>
        </w:rPr>
      </w:pPr>
    </w:p>
    <w:p w:rsidR="00703E09" w:rsidRPr="00703E09" w:rsidRDefault="00703E09" w:rsidP="00703E09">
      <w:pPr>
        <w:jc w:val="center"/>
        <w:rPr>
          <w:rFonts w:ascii="Trebuchet MS" w:eastAsia="MS Gothic" w:hAnsi="Trebuchet MS"/>
          <w:kern w:val="28"/>
          <w:sz w:val="24"/>
          <w:szCs w:val="24"/>
          <w:lang w:val="ro-RO"/>
        </w:rPr>
      </w:pPr>
    </w:p>
    <w:p w:rsidR="00703E09" w:rsidRPr="00703E09" w:rsidRDefault="00703E09" w:rsidP="00703E09">
      <w:pPr>
        <w:jc w:val="center"/>
        <w:rPr>
          <w:rFonts w:ascii="Trebuchet MS" w:eastAsia="MS Gothic" w:hAnsi="Trebuchet MS"/>
          <w:kern w:val="28"/>
          <w:sz w:val="24"/>
          <w:szCs w:val="24"/>
          <w:lang w:val="ro-RO"/>
        </w:rPr>
      </w:pPr>
    </w:p>
    <w:p w:rsidR="00703E09" w:rsidRPr="00703E09" w:rsidRDefault="00703E09" w:rsidP="00703E09">
      <w:pPr>
        <w:jc w:val="center"/>
        <w:rPr>
          <w:rFonts w:ascii="Trebuchet MS" w:eastAsia="MS Gothic" w:hAnsi="Trebuchet MS"/>
          <w:kern w:val="28"/>
          <w:sz w:val="24"/>
          <w:szCs w:val="24"/>
          <w:lang w:val="ro-RO"/>
        </w:rPr>
      </w:pPr>
      <w:r w:rsidRPr="00703E09">
        <w:rPr>
          <w:rFonts w:ascii="Trebuchet MS" w:eastAsia="MS Gothic" w:hAnsi="Trebuchet MS"/>
          <w:kern w:val="28"/>
          <w:sz w:val="24"/>
          <w:szCs w:val="24"/>
          <w:lang w:val="ro-RO"/>
        </w:rPr>
        <w:t>INSPECTORATUL TERITORIAL DE MUNCA ILFOV</w:t>
      </w:r>
    </w:p>
    <w:p w:rsidR="00703E09" w:rsidRPr="00703E09" w:rsidRDefault="00703E09" w:rsidP="00703E09">
      <w:pPr>
        <w:jc w:val="center"/>
        <w:rPr>
          <w:rFonts w:ascii="Trebuchet MS" w:hAnsi="Trebuchet MS"/>
          <w:sz w:val="24"/>
          <w:szCs w:val="24"/>
        </w:rPr>
      </w:pPr>
      <w:r w:rsidRPr="00703E09">
        <w:rPr>
          <w:rFonts w:ascii="Trebuchet MS" w:eastAsia="MS Gothic" w:hAnsi="Trebuchet MS"/>
          <w:kern w:val="28"/>
          <w:sz w:val="24"/>
          <w:szCs w:val="24"/>
          <w:lang w:val="ro-RO"/>
        </w:rPr>
        <w:t>SECURITATEA SI SANATATE IN MUNCA</w:t>
      </w:r>
    </w:p>
    <w:sectPr w:rsidR="00703E09" w:rsidRPr="00703E09" w:rsidSect="00D87ADC">
      <w:headerReference w:type="default" r:id="rId7"/>
      <w:footerReference w:type="even" r:id="rId8"/>
      <w:footerReference w:type="default" r:id="rId9"/>
      <w:pgSz w:w="12240" w:h="15840"/>
      <w:pgMar w:top="-2016" w:right="900" w:bottom="187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5BC" w:rsidRDefault="003845BC" w:rsidP="00EB3F2A">
      <w:pPr>
        <w:spacing w:after="0" w:line="240" w:lineRule="auto"/>
      </w:pPr>
      <w:r>
        <w:separator/>
      </w:r>
    </w:p>
  </w:endnote>
  <w:endnote w:type="continuationSeparator" w:id="1">
    <w:p w:rsidR="003845BC" w:rsidRDefault="003845BC" w:rsidP="00EB3F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D2F" w:rsidRDefault="00F63021" w:rsidP="0012446A">
    <w:pPr>
      <w:pStyle w:val="Footer"/>
      <w:framePr w:wrap="around" w:vAnchor="text" w:hAnchor="margin" w:xAlign="center" w:y="1"/>
      <w:rPr>
        <w:rStyle w:val="PageNumber"/>
      </w:rPr>
    </w:pPr>
    <w:r>
      <w:rPr>
        <w:rStyle w:val="PageNumber"/>
      </w:rPr>
      <w:fldChar w:fldCharType="begin"/>
    </w:r>
    <w:r w:rsidR="00242D2F">
      <w:rPr>
        <w:rStyle w:val="PageNumber"/>
      </w:rPr>
      <w:instrText xml:space="preserve">PAGE  </w:instrText>
    </w:r>
    <w:r>
      <w:rPr>
        <w:rStyle w:val="PageNumber"/>
      </w:rPr>
      <w:fldChar w:fldCharType="end"/>
    </w:r>
  </w:p>
  <w:p w:rsidR="00242D2F" w:rsidRDefault="00242D2F" w:rsidP="00BE01C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D2F" w:rsidRPr="00631479" w:rsidRDefault="00F63021" w:rsidP="007A19F4">
    <w:pPr>
      <w:pStyle w:val="Footer"/>
      <w:framePr w:wrap="around" w:vAnchor="text" w:hAnchor="margin" w:xAlign="center" w:y="1"/>
      <w:ind w:left="0"/>
      <w:rPr>
        <w:rStyle w:val="PageNumber"/>
        <w:sz w:val="16"/>
        <w:szCs w:val="18"/>
      </w:rPr>
    </w:pPr>
    <w:r w:rsidRPr="00631479">
      <w:rPr>
        <w:rStyle w:val="PageNumber"/>
        <w:sz w:val="16"/>
        <w:szCs w:val="18"/>
      </w:rPr>
      <w:fldChar w:fldCharType="begin"/>
    </w:r>
    <w:r w:rsidR="00242D2F" w:rsidRPr="00631479">
      <w:rPr>
        <w:rStyle w:val="PageNumber"/>
        <w:sz w:val="16"/>
        <w:szCs w:val="18"/>
      </w:rPr>
      <w:instrText xml:space="preserve">PAGE  </w:instrText>
    </w:r>
    <w:r w:rsidRPr="00631479">
      <w:rPr>
        <w:rStyle w:val="PageNumber"/>
        <w:sz w:val="16"/>
        <w:szCs w:val="18"/>
      </w:rPr>
      <w:fldChar w:fldCharType="separate"/>
    </w:r>
    <w:r w:rsidR="00703E09">
      <w:rPr>
        <w:rStyle w:val="PageNumber"/>
        <w:noProof/>
        <w:sz w:val="16"/>
        <w:szCs w:val="18"/>
      </w:rPr>
      <w:t>3</w:t>
    </w:r>
    <w:r w:rsidRPr="00631479">
      <w:rPr>
        <w:rStyle w:val="PageNumber"/>
        <w:sz w:val="16"/>
        <w:szCs w:val="18"/>
      </w:rPr>
      <w:fldChar w:fldCharType="end"/>
    </w:r>
  </w:p>
  <w:p w:rsidR="00242D2F" w:rsidRPr="00392BDD" w:rsidRDefault="00242D2F" w:rsidP="00BE01C3">
    <w:pPr>
      <w:pStyle w:val="Footer"/>
      <w:jc w:val="right"/>
      <w:rPr>
        <w:rFonts w:ascii="Arial" w:hAnsi="Arial" w:cs="Arial"/>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5BC" w:rsidRDefault="003845BC" w:rsidP="00EB3F2A">
      <w:pPr>
        <w:spacing w:after="0" w:line="240" w:lineRule="auto"/>
      </w:pPr>
      <w:r>
        <w:separator/>
      </w:r>
    </w:p>
  </w:footnote>
  <w:footnote w:type="continuationSeparator" w:id="1">
    <w:p w:rsidR="003845BC" w:rsidRDefault="003845BC" w:rsidP="00EB3F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D2F" w:rsidRDefault="00A41DB2" w:rsidP="006845C9">
    <w:pPr>
      <w:pStyle w:val="Header"/>
      <w:ind w:left="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Untitled" style="width:77.25pt;height:74.25pt;visibility:visible">
          <v:imagedata r:id="rId1" o:title="Untitled"/>
        </v:shape>
      </w:pict>
    </w:r>
    <w:r w:rsidR="00F63021">
      <w:rPr>
        <w:noProof/>
      </w:rPr>
      <w:pict>
        <v:shape id="_x0000_s2051" type="#_x0000_t75" style="position:absolute;left:0;text-align:left;margin-left:-16.65pt;margin-top:-78.35pt;width:369.35pt;height:992.15pt;z-index:-251653120;mso-wrap-distance-left:2.88pt;mso-wrap-distance-top:2.88pt;mso-wrap-distance-right:2.88pt;mso-wrap-distance-bottom:2.88pt;mso-position-horizontal-relative:page;mso-position-vertical-relative:page" wrapcoords="13004 94 5907 160 3615 225 3615 356 2953 487 2468 601 1675 880 1146 1142 749 1404 441 1666 264 1928 177 2452 264 2715 441 2976 705 3238 1059 3500 1587 3762 2381 4041 3482 4286 4100 4548 3218 5334 2778 5858 2512 6383 2425 6906 2512 7431 2689 7693 3615 8478 5642 9526 10667 11622 13885 13457 14106 13719 14326 14242 14282 14767 13930 15553 6877 21055 6436 21448 6481 21513 13356 21513 17148 18959 19528 17125 20586 16077 20762 15815 20982 15553 21247 15029 21380 14505 21291 13981 21159 13719 20939 13457 20322 12932 18955 12147 9566 7431 9566 6383 9830 5858 10315 5334 10933 4810 12519 3762 19175 618 19748 323 18162 258 13312 94 13004 94" insetpen="t" o:clip="t" o:cliptowrap="t">
          <o:clippath o:v="m13004,94l5907,160,3615,225r,131l2953,487,2468,601,1675,880r-529,262l749,1404,441,1666,264,1928r-87,524l264,2715r177,261l705,3238r354,262l1587,3762r794,279l3482,4286r618,262l3218,5334r-440,524l2512,6383r-87,523l2512,7431r177,262l3615,8478,5642,9526r5025,2096l13885,13457r221,262l14326,14242r-44,525l13930,15553,6877,21055r-441,393l6481,21513r6875,l17148,18959r2380,-1834l20586,16077r176,-262l20982,15553r265,-524l21380,14505r-89,-524l21159,13719r-220,-262l20322,12932r-1367,-785l9566,7431r,-1048l9830,5858r485,-524l10933,4810,12519,3762,19175,618r573,-295l18162,258,13312,94r-308,xe"/>
          <v:stroke>
            <o:left v:ext="view" joinstyle="miter" insetpen="t"/>
            <o:top v:ext="view" joinstyle="miter" insetpen="t"/>
            <o:right v:ext="view" joinstyle="miter" insetpen="t"/>
            <o:bottom v:ext="view" joinstyle="miter" insetpen="t"/>
          </v:stroke>
          <v:imagedata r:id="rId2" o:title="LINIEN~1" recolortarget="#d5eaff"/>
          <v:shadow color="#ccc"/>
          <w10:wrap anchorx="page" anchory="page"/>
        </v:shape>
      </w:pict>
    </w:r>
    <w:r w:rsidR="00F63021">
      <w:rPr>
        <w:noProof/>
        <w:lang w:eastAsia="ko-KR"/>
      </w:rPr>
      <w:pict>
        <v:shapetype id="_x0000_t202" coordsize="21600,21600" o:spt="202" path="m,l,21600r21600,l21600,xe">
          <v:stroke joinstyle="miter"/>
          <v:path gradientshapeok="t" o:connecttype="rect"/>
        </v:shapetype>
        <v:shape id="_x0000_s2052" type="#_x0000_t202" style="position:absolute;left:0;text-align:left;margin-left:91.15pt;margin-top:21.8pt;width:359.85pt;height:24.45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2052">
            <w:txbxContent>
              <w:p w:rsidR="00242D2F" w:rsidRPr="00484F1F" w:rsidRDefault="00242D2F" w:rsidP="00BE01C3">
                <w:pPr>
                  <w:rPr>
                    <w:smallCaps/>
                    <w:sz w:val="32"/>
                    <w:lang w:val="ro-RO"/>
                  </w:rPr>
                </w:pPr>
                <w:r w:rsidRPr="00484F1F">
                  <w:rPr>
                    <w:smallCaps/>
                    <w:sz w:val="32"/>
                    <w:lang w:val="ro-RO"/>
                  </w:rPr>
                  <w:t>Inspec</w:t>
                </w:r>
                <w:r>
                  <w:rPr>
                    <w:smallCaps/>
                    <w:sz w:val="32"/>
                    <w:lang w:val="ro-RO"/>
                  </w:rPr>
                  <w:t>ţ</w:t>
                </w:r>
                <w:r w:rsidRPr="00484F1F">
                  <w:rPr>
                    <w:smallCaps/>
                    <w:sz w:val="32"/>
                    <w:lang w:val="ro-RO"/>
                  </w:rPr>
                  <w:t xml:space="preserve">ia Muncii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B47DD"/>
    <w:multiLevelType w:val="hybridMultilevel"/>
    <w:tmpl w:val="376A3C2E"/>
    <w:lvl w:ilvl="0" w:tplc="04090001">
      <w:start w:val="1"/>
      <w:numFmt w:val="bullet"/>
      <w:lvlText w:val=""/>
      <w:lvlJc w:val="left"/>
      <w:pPr>
        <w:ind w:left="7023" w:hanging="360"/>
      </w:pPr>
      <w:rPr>
        <w:rFonts w:ascii="Symbol" w:hAnsi="Symbol" w:hint="default"/>
      </w:rPr>
    </w:lvl>
    <w:lvl w:ilvl="1" w:tplc="04090003" w:tentative="1">
      <w:start w:val="1"/>
      <w:numFmt w:val="bullet"/>
      <w:lvlText w:val="o"/>
      <w:lvlJc w:val="left"/>
      <w:pPr>
        <w:ind w:left="7743" w:hanging="360"/>
      </w:pPr>
      <w:rPr>
        <w:rFonts w:ascii="Courier New" w:hAnsi="Courier New" w:cs="Courier New" w:hint="default"/>
      </w:rPr>
    </w:lvl>
    <w:lvl w:ilvl="2" w:tplc="04090005" w:tentative="1">
      <w:start w:val="1"/>
      <w:numFmt w:val="bullet"/>
      <w:lvlText w:val=""/>
      <w:lvlJc w:val="left"/>
      <w:pPr>
        <w:ind w:left="8463" w:hanging="360"/>
      </w:pPr>
      <w:rPr>
        <w:rFonts w:ascii="Wingdings" w:hAnsi="Wingdings" w:hint="default"/>
      </w:rPr>
    </w:lvl>
    <w:lvl w:ilvl="3" w:tplc="04090001" w:tentative="1">
      <w:start w:val="1"/>
      <w:numFmt w:val="bullet"/>
      <w:lvlText w:val=""/>
      <w:lvlJc w:val="left"/>
      <w:pPr>
        <w:ind w:left="9183" w:hanging="360"/>
      </w:pPr>
      <w:rPr>
        <w:rFonts w:ascii="Symbol" w:hAnsi="Symbol" w:hint="default"/>
      </w:rPr>
    </w:lvl>
    <w:lvl w:ilvl="4" w:tplc="04090003" w:tentative="1">
      <w:start w:val="1"/>
      <w:numFmt w:val="bullet"/>
      <w:lvlText w:val="o"/>
      <w:lvlJc w:val="left"/>
      <w:pPr>
        <w:ind w:left="9903" w:hanging="360"/>
      </w:pPr>
      <w:rPr>
        <w:rFonts w:ascii="Courier New" w:hAnsi="Courier New" w:cs="Courier New" w:hint="default"/>
      </w:rPr>
    </w:lvl>
    <w:lvl w:ilvl="5" w:tplc="04090005" w:tentative="1">
      <w:start w:val="1"/>
      <w:numFmt w:val="bullet"/>
      <w:lvlText w:val=""/>
      <w:lvlJc w:val="left"/>
      <w:pPr>
        <w:ind w:left="10623" w:hanging="360"/>
      </w:pPr>
      <w:rPr>
        <w:rFonts w:ascii="Wingdings" w:hAnsi="Wingdings" w:hint="default"/>
      </w:rPr>
    </w:lvl>
    <w:lvl w:ilvl="6" w:tplc="04090001" w:tentative="1">
      <w:start w:val="1"/>
      <w:numFmt w:val="bullet"/>
      <w:lvlText w:val=""/>
      <w:lvlJc w:val="left"/>
      <w:pPr>
        <w:ind w:left="11343" w:hanging="360"/>
      </w:pPr>
      <w:rPr>
        <w:rFonts w:ascii="Symbol" w:hAnsi="Symbol" w:hint="default"/>
      </w:rPr>
    </w:lvl>
    <w:lvl w:ilvl="7" w:tplc="04090003" w:tentative="1">
      <w:start w:val="1"/>
      <w:numFmt w:val="bullet"/>
      <w:lvlText w:val="o"/>
      <w:lvlJc w:val="left"/>
      <w:pPr>
        <w:ind w:left="12063" w:hanging="360"/>
      </w:pPr>
      <w:rPr>
        <w:rFonts w:ascii="Courier New" w:hAnsi="Courier New" w:cs="Courier New" w:hint="default"/>
      </w:rPr>
    </w:lvl>
    <w:lvl w:ilvl="8" w:tplc="04090005" w:tentative="1">
      <w:start w:val="1"/>
      <w:numFmt w:val="bullet"/>
      <w:lvlText w:val=""/>
      <w:lvlJc w:val="left"/>
      <w:pPr>
        <w:ind w:left="12783" w:hanging="360"/>
      </w:pPr>
      <w:rPr>
        <w:rFonts w:ascii="Wingdings" w:hAnsi="Wingdings" w:hint="default"/>
      </w:rPr>
    </w:lvl>
  </w:abstractNum>
  <w:abstractNum w:abstractNumId="1">
    <w:nsid w:val="0F876038"/>
    <w:multiLevelType w:val="hybridMultilevel"/>
    <w:tmpl w:val="28D49C9E"/>
    <w:lvl w:ilvl="0" w:tplc="0409000B">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
    <w:nsid w:val="12514FA9"/>
    <w:multiLevelType w:val="hybridMultilevel"/>
    <w:tmpl w:val="990AAFF4"/>
    <w:lvl w:ilvl="0" w:tplc="A2FAE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FC751E"/>
    <w:multiLevelType w:val="hybridMultilevel"/>
    <w:tmpl w:val="A8AC4DD0"/>
    <w:lvl w:ilvl="0" w:tplc="A2FAE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F37B45"/>
    <w:multiLevelType w:val="hybridMultilevel"/>
    <w:tmpl w:val="C78CCC94"/>
    <w:lvl w:ilvl="0" w:tplc="0409000B">
      <w:start w:val="1"/>
      <w:numFmt w:val="bullet"/>
      <w:lvlText w:val=""/>
      <w:lvlJc w:val="left"/>
      <w:pPr>
        <w:ind w:left="2421" w:hanging="360"/>
      </w:pPr>
      <w:rPr>
        <w:rFonts w:ascii="Wingdings" w:hAnsi="Wingding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5">
    <w:nsid w:val="7E4F7505"/>
    <w:multiLevelType w:val="hybridMultilevel"/>
    <w:tmpl w:val="0DFE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57"/>
    <o:shapelayout v:ext="edit">
      <o:idmap v:ext="edit" data="2"/>
    </o:shapelayout>
  </w:hdrShapeDefaults>
  <w:footnotePr>
    <w:footnote w:id="0"/>
    <w:footnote w:id="1"/>
  </w:footnotePr>
  <w:endnotePr>
    <w:endnote w:id="0"/>
    <w:endnote w:id="1"/>
  </w:endnotePr>
  <w:compat/>
  <w:rsids>
    <w:rsidRoot w:val="008F0E37"/>
    <w:rsid w:val="0004061E"/>
    <w:rsid w:val="00056B66"/>
    <w:rsid w:val="00102721"/>
    <w:rsid w:val="00141C00"/>
    <w:rsid w:val="00180C05"/>
    <w:rsid w:val="001C26C1"/>
    <w:rsid w:val="001D6DD3"/>
    <w:rsid w:val="001F1D14"/>
    <w:rsid w:val="00242D2F"/>
    <w:rsid w:val="00377FCF"/>
    <w:rsid w:val="003845BC"/>
    <w:rsid w:val="00397A05"/>
    <w:rsid w:val="003E1F77"/>
    <w:rsid w:val="003E5275"/>
    <w:rsid w:val="00431A14"/>
    <w:rsid w:val="00441665"/>
    <w:rsid w:val="004C2A96"/>
    <w:rsid w:val="004D2C8D"/>
    <w:rsid w:val="00510059"/>
    <w:rsid w:val="00570D01"/>
    <w:rsid w:val="005B25AA"/>
    <w:rsid w:val="005D7FC3"/>
    <w:rsid w:val="005E74C1"/>
    <w:rsid w:val="006053C8"/>
    <w:rsid w:val="00632057"/>
    <w:rsid w:val="006421BF"/>
    <w:rsid w:val="006574C3"/>
    <w:rsid w:val="006B03BC"/>
    <w:rsid w:val="006F22D9"/>
    <w:rsid w:val="00702831"/>
    <w:rsid w:val="00703E09"/>
    <w:rsid w:val="00730C9E"/>
    <w:rsid w:val="007361E8"/>
    <w:rsid w:val="00743DE5"/>
    <w:rsid w:val="00751398"/>
    <w:rsid w:val="007A16B8"/>
    <w:rsid w:val="007B5772"/>
    <w:rsid w:val="00877EE5"/>
    <w:rsid w:val="00896DAF"/>
    <w:rsid w:val="008E4E59"/>
    <w:rsid w:val="008F0E37"/>
    <w:rsid w:val="008F2E5F"/>
    <w:rsid w:val="00980895"/>
    <w:rsid w:val="009A5E4F"/>
    <w:rsid w:val="009A735C"/>
    <w:rsid w:val="009E5DED"/>
    <w:rsid w:val="009F119B"/>
    <w:rsid w:val="009F1B3C"/>
    <w:rsid w:val="00A41423"/>
    <w:rsid w:val="00A41612"/>
    <w:rsid w:val="00A41DB2"/>
    <w:rsid w:val="00A600C4"/>
    <w:rsid w:val="00A740D6"/>
    <w:rsid w:val="00A82118"/>
    <w:rsid w:val="00B124FC"/>
    <w:rsid w:val="00BB3BFD"/>
    <w:rsid w:val="00BC7B53"/>
    <w:rsid w:val="00BD6860"/>
    <w:rsid w:val="00BE2F15"/>
    <w:rsid w:val="00C02AB9"/>
    <w:rsid w:val="00C14FC5"/>
    <w:rsid w:val="00C454B3"/>
    <w:rsid w:val="00C461A1"/>
    <w:rsid w:val="00C56FF2"/>
    <w:rsid w:val="00C61C15"/>
    <w:rsid w:val="00CB5D7A"/>
    <w:rsid w:val="00CF302A"/>
    <w:rsid w:val="00D22BA1"/>
    <w:rsid w:val="00D31286"/>
    <w:rsid w:val="00D467B5"/>
    <w:rsid w:val="00D87ADC"/>
    <w:rsid w:val="00D9235E"/>
    <w:rsid w:val="00DA0A06"/>
    <w:rsid w:val="00E135D8"/>
    <w:rsid w:val="00E26C89"/>
    <w:rsid w:val="00E3238D"/>
    <w:rsid w:val="00E72ABB"/>
    <w:rsid w:val="00E933B3"/>
    <w:rsid w:val="00EB3F2A"/>
    <w:rsid w:val="00EC23F3"/>
    <w:rsid w:val="00EF163D"/>
    <w:rsid w:val="00F3565A"/>
    <w:rsid w:val="00F363ED"/>
    <w:rsid w:val="00F63021"/>
    <w:rsid w:val="00FE1425"/>
    <w:rsid w:val="00FE4643"/>
    <w:rsid w:val="00FF1869"/>
    <w:rsid w:val="00FF2DA3"/>
    <w:rsid w:val="00FF2F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B66"/>
  </w:style>
  <w:style w:type="paragraph" w:styleId="Heading4">
    <w:name w:val="heading 4"/>
    <w:basedOn w:val="Normal"/>
    <w:next w:val="Normal"/>
    <w:link w:val="Heading4Char"/>
    <w:qFormat/>
    <w:rsid w:val="00242D2F"/>
    <w:pPr>
      <w:keepNext/>
      <w:spacing w:before="240" w:after="60"/>
      <w:ind w:left="1701"/>
      <w:jc w:val="both"/>
      <w:outlineLvl w:val="3"/>
    </w:pPr>
    <w:rPr>
      <w:rFonts w:ascii="Times New Roman" w:eastAsia="MS Mincho"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42D2F"/>
    <w:rPr>
      <w:rFonts w:ascii="Times New Roman" w:eastAsia="MS Mincho" w:hAnsi="Times New Roman" w:cs="Times New Roman"/>
      <w:b/>
      <w:bCs/>
      <w:sz w:val="28"/>
      <w:szCs w:val="28"/>
    </w:rPr>
  </w:style>
  <w:style w:type="paragraph" w:styleId="ListParagraph">
    <w:name w:val="List Paragraph"/>
    <w:basedOn w:val="Normal"/>
    <w:uiPriority w:val="34"/>
    <w:qFormat/>
    <w:rsid w:val="00242D2F"/>
    <w:pPr>
      <w:spacing w:after="0" w:line="240" w:lineRule="auto"/>
      <w:ind w:left="720"/>
    </w:pPr>
    <w:rPr>
      <w:rFonts w:ascii="Calibri" w:eastAsia="Times New Roman" w:hAnsi="Calibri" w:cs="Calibri"/>
      <w:lang w:val="en-GB"/>
    </w:rPr>
  </w:style>
  <w:style w:type="paragraph" w:styleId="BalloonText">
    <w:name w:val="Balloon Text"/>
    <w:basedOn w:val="Normal"/>
    <w:link w:val="BalloonTextChar"/>
    <w:uiPriority w:val="99"/>
    <w:semiHidden/>
    <w:unhideWhenUsed/>
    <w:rsid w:val="00242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D2F"/>
    <w:rPr>
      <w:rFonts w:ascii="Tahoma" w:hAnsi="Tahoma" w:cs="Tahoma"/>
      <w:sz w:val="16"/>
      <w:szCs w:val="16"/>
    </w:rPr>
  </w:style>
  <w:style w:type="paragraph" w:styleId="Header">
    <w:name w:val="header"/>
    <w:basedOn w:val="Normal"/>
    <w:link w:val="HeaderChar"/>
    <w:uiPriority w:val="99"/>
    <w:unhideWhenUsed/>
    <w:rsid w:val="00242D2F"/>
    <w:pPr>
      <w:tabs>
        <w:tab w:val="center" w:pos="4320"/>
        <w:tab w:val="right" w:pos="8640"/>
      </w:tabs>
      <w:spacing w:after="120"/>
      <w:ind w:left="1701"/>
      <w:jc w:val="both"/>
    </w:pPr>
    <w:rPr>
      <w:rFonts w:ascii="Trebuchet MS" w:eastAsia="MS Mincho" w:hAnsi="Trebuchet MS" w:cs="Times New Roman"/>
    </w:rPr>
  </w:style>
  <w:style w:type="character" w:customStyle="1" w:styleId="HeaderChar">
    <w:name w:val="Header Char"/>
    <w:basedOn w:val="DefaultParagraphFont"/>
    <w:link w:val="Header"/>
    <w:uiPriority w:val="99"/>
    <w:rsid w:val="00242D2F"/>
    <w:rPr>
      <w:rFonts w:ascii="Trebuchet MS" w:eastAsia="MS Mincho" w:hAnsi="Trebuchet MS" w:cs="Times New Roman"/>
    </w:rPr>
  </w:style>
  <w:style w:type="paragraph" w:styleId="Footer">
    <w:name w:val="footer"/>
    <w:basedOn w:val="Normal"/>
    <w:link w:val="FooterChar"/>
    <w:uiPriority w:val="99"/>
    <w:unhideWhenUsed/>
    <w:rsid w:val="00242D2F"/>
    <w:pPr>
      <w:tabs>
        <w:tab w:val="center" w:pos="4320"/>
        <w:tab w:val="right" w:pos="8640"/>
      </w:tabs>
      <w:spacing w:after="120"/>
      <w:ind w:left="1701"/>
      <w:jc w:val="both"/>
    </w:pPr>
    <w:rPr>
      <w:rFonts w:ascii="Trebuchet MS" w:eastAsia="MS Mincho" w:hAnsi="Trebuchet MS" w:cs="Times New Roman"/>
    </w:rPr>
  </w:style>
  <w:style w:type="character" w:customStyle="1" w:styleId="FooterChar">
    <w:name w:val="Footer Char"/>
    <w:basedOn w:val="DefaultParagraphFont"/>
    <w:link w:val="Footer"/>
    <w:uiPriority w:val="99"/>
    <w:rsid w:val="00242D2F"/>
    <w:rPr>
      <w:rFonts w:ascii="Trebuchet MS" w:eastAsia="MS Mincho" w:hAnsi="Trebuchet MS" w:cs="Times New Roman"/>
    </w:rPr>
  </w:style>
  <w:style w:type="character" w:styleId="PageNumber">
    <w:name w:val="page number"/>
    <w:basedOn w:val="DefaultParagraphFont"/>
    <w:rsid w:val="00242D2F"/>
  </w:style>
  <w:style w:type="character" w:styleId="Hyperlink">
    <w:name w:val="Hyperlink"/>
    <w:rsid w:val="00141C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1121</Words>
  <Characters>6394</Characters>
  <Application>Microsoft Office Word</Application>
  <DocSecurity>0</DocSecurity>
  <Lines>53</Lines>
  <Paragraphs>14</Paragraphs>
  <ScaleCrop>false</ScaleCrop>
  <Company/>
  <LinksUpToDate>false</LinksUpToDate>
  <CharactersWithSpaces>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sorina.petrescu</dc:creator>
  <cp:lastModifiedBy>maria.manolache</cp:lastModifiedBy>
  <cp:revision>5</cp:revision>
  <dcterms:created xsi:type="dcterms:W3CDTF">2024-11-15T08:31:00Z</dcterms:created>
  <dcterms:modified xsi:type="dcterms:W3CDTF">2024-11-15T09:05:00Z</dcterms:modified>
</cp:coreProperties>
</file>