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81" w:rsidRDefault="00901081" w:rsidP="00901081">
      <w:pPr>
        <w:jc w:val="center"/>
        <w:rPr>
          <w:rFonts w:ascii="Trebuchet MS" w:hAnsi="Trebuchet MS"/>
          <w:b/>
          <w:i/>
          <w:sz w:val="24"/>
          <w:szCs w:val="24"/>
        </w:rPr>
      </w:pPr>
    </w:p>
    <w:p w:rsidR="00901081" w:rsidRPr="00703E09" w:rsidRDefault="00901081" w:rsidP="00901081">
      <w:pPr>
        <w:jc w:val="center"/>
        <w:rPr>
          <w:rFonts w:ascii="Trebuchet MS" w:hAnsi="Trebuchet MS"/>
          <w:b/>
          <w:sz w:val="24"/>
          <w:szCs w:val="24"/>
        </w:rPr>
      </w:pPr>
      <w:proofErr w:type="spellStart"/>
      <w:proofErr w:type="gramStart"/>
      <w:r w:rsidRPr="00703E09">
        <w:rPr>
          <w:rFonts w:ascii="Trebuchet MS" w:hAnsi="Trebuchet MS"/>
          <w:b/>
          <w:i/>
          <w:sz w:val="24"/>
          <w:szCs w:val="24"/>
        </w:rPr>
        <w:t>Acţiune</w:t>
      </w:r>
      <w:proofErr w:type="spellEnd"/>
      <w:r w:rsidRPr="00703E09">
        <w:rPr>
          <w:rFonts w:ascii="Trebuchet MS" w:hAnsi="Trebuchet MS"/>
          <w:b/>
          <w:i/>
          <w:sz w:val="24"/>
          <w:szCs w:val="24"/>
        </w:rPr>
        <w:t xml:space="preserve"> de control </w:t>
      </w:r>
      <w:proofErr w:type="spellStart"/>
      <w:r w:rsidRPr="00703E09">
        <w:rPr>
          <w:rFonts w:ascii="Trebuchet MS" w:hAnsi="Trebuchet MS"/>
          <w:b/>
          <w:i/>
          <w:sz w:val="24"/>
          <w:szCs w:val="24"/>
        </w:rPr>
        <w:t>vizând</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modul</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respectare</w:t>
      </w:r>
      <w:proofErr w:type="spellEnd"/>
      <w:r w:rsidRPr="00703E09">
        <w:rPr>
          <w:rFonts w:ascii="Trebuchet MS" w:hAnsi="Trebuchet MS"/>
          <w:b/>
          <w:i/>
          <w:sz w:val="24"/>
          <w:szCs w:val="24"/>
        </w:rPr>
        <w:t xml:space="preserve"> a </w:t>
      </w:r>
      <w:proofErr w:type="spellStart"/>
      <w:r w:rsidRPr="00703E09">
        <w:rPr>
          <w:rFonts w:ascii="Trebuchet MS" w:hAnsi="Trebuchet MS"/>
          <w:b/>
          <w:i/>
          <w:sz w:val="24"/>
          <w:szCs w:val="24"/>
        </w:rPr>
        <w:t>cerinţelor</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minime</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securitate</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şi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sănătate</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în</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muncă</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pentru</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protecţia</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lucrătorilor</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împotriva</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riscurilor</w:t>
      </w:r>
      <w:proofErr w:type="spellEnd"/>
      <w:r w:rsidRPr="00703E09">
        <w:rPr>
          <w:rFonts w:ascii="Trebuchet MS" w:hAnsi="Trebuchet MS"/>
          <w:b/>
          <w:i/>
          <w:sz w:val="24"/>
          <w:szCs w:val="24"/>
        </w:rPr>
        <w:t xml:space="preserve"> legate de </w:t>
      </w:r>
      <w:proofErr w:type="spellStart"/>
      <w:r w:rsidRPr="00703E09">
        <w:rPr>
          <w:rFonts w:ascii="Trebuchet MS" w:hAnsi="Trebuchet MS"/>
          <w:b/>
          <w:i/>
          <w:sz w:val="24"/>
          <w:szCs w:val="24"/>
        </w:rPr>
        <w:t>expunerea</w:t>
      </w:r>
      <w:proofErr w:type="spellEnd"/>
      <w:r w:rsidRPr="00703E09">
        <w:rPr>
          <w:rFonts w:ascii="Trebuchet MS" w:hAnsi="Trebuchet MS"/>
          <w:b/>
          <w:i/>
          <w:sz w:val="24"/>
          <w:szCs w:val="24"/>
        </w:rPr>
        <w:t xml:space="preserve"> la </w:t>
      </w:r>
      <w:proofErr w:type="spellStart"/>
      <w:r w:rsidRPr="00703E09">
        <w:rPr>
          <w:rFonts w:ascii="Trebuchet MS" w:hAnsi="Trebuchet MS"/>
          <w:b/>
          <w:i/>
          <w:sz w:val="24"/>
          <w:szCs w:val="24"/>
        </w:rPr>
        <w:t>agenţi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chimici</w:t>
      </w:r>
      <w:proofErr w:type="spellEnd"/>
      <w:r w:rsidRPr="00703E09">
        <w:rPr>
          <w:rFonts w:ascii="Trebuchet MS" w:hAnsi="Trebuchet MS"/>
          <w:b/>
          <w:i/>
          <w:sz w:val="24"/>
          <w:szCs w:val="24"/>
        </w:rPr>
        <w:t xml:space="preserve"> </w:t>
      </w:r>
      <w:proofErr w:type="spellStart"/>
      <w:r w:rsidRPr="00703E09">
        <w:rPr>
          <w:rFonts w:ascii="Trebuchet MS" w:hAnsi="Trebuchet MS"/>
          <w:b/>
          <w:i/>
          <w:sz w:val="24"/>
          <w:szCs w:val="24"/>
        </w:rPr>
        <w:t>periculoşi</w:t>
      </w:r>
      <w:proofErr w:type="spellEnd"/>
      <w:r w:rsidRPr="00703E09">
        <w:rPr>
          <w:rFonts w:ascii="Trebuchet MS" w:hAnsi="Trebuchet MS"/>
          <w:b/>
          <w:i/>
          <w:sz w:val="24"/>
          <w:szCs w:val="24"/>
        </w:rPr>
        <w:t xml:space="preserve"> la </w:t>
      </w:r>
      <w:proofErr w:type="spellStart"/>
      <w:r w:rsidRPr="00703E09">
        <w:rPr>
          <w:rFonts w:ascii="Trebuchet MS" w:hAnsi="Trebuchet MS"/>
          <w:b/>
          <w:i/>
          <w:sz w:val="24"/>
          <w:szCs w:val="24"/>
        </w:rPr>
        <w:t>locul</w:t>
      </w:r>
      <w:proofErr w:type="spellEnd"/>
      <w:r w:rsidRPr="00703E09">
        <w:rPr>
          <w:rFonts w:ascii="Trebuchet MS" w:hAnsi="Trebuchet MS"/>
          <w:b/>
          <w:i/>
          <w:sz w:val="24"/>
          <w:szCs w:val="24"/>
        </w:rPr>
        <w:t xml:space="preserve"> de </w:t>
      </w:r>
      <w:proofErr w:type="spellStart"/>
      <w:r w:rsidRPr="00703E09">
        <w:rPr>
          <w:rFonts w:ascii="Trebuchet MS" w:hAnsi="Trebuchet MS"/>
          <w:b/>
          <w:i/>
          <w:sz w:val="24"/>
          <w:szCs w:val="24"/>
        </w:rPr>
        <w:t>muncă</w:t>
      </w:r>
      <w:proofErr w:type="spellEnd"/>
      <w:r w:rsidRPr="00703E09">
        <w:rPr>
          <w:rFonts w:ascii="Trebuchet MS" w:hAnsi="Trebuchet MS"/>
          <w:b/>
          <w:sz w:val="24"/>
          <w:szCs w:val="24"/>
        </w:rPr>
        <w:t>.</w:t>
      </w:r>
      <w:proofErr w:type="gramEnd"/>
    </w:p>
    <w:p w:rsidR="00901081" w:rsidRPr="00703E09" w:rsidRDefault="00901081" w:rsidP="00901081">
      <w:pPr>
        <w:jc w:val="center"/>
        <w:rPr>
          <w:rFonts w:ascii="Trebuchet MS" w:hAnsi="Trebuchet MS"/>
          <w:b/>
          <w:sz w:val="24"/>
          <w:szCs w:val="24"/>
        </w:rPr>
      </w:pPr>
      <w:r>
        <w:rPr>
          <w:rFonts w:ascii="Trebuchet MS" w:hAnsi="Trebuchet MS"/>
          <w:b/>
          <w:sz w:val="24"/>
          <w:szCs w:val="24"/>
        </w:rPr>
        <w:t>2024</w:t>
      </w:r>
    </w:p>
    <w:p w:rsidR="00242D2F" w:rsidRPr="00242D2F" w:rsidRDefault="00242D2F" w:rsidP="00242D2F">
      <w:pPr>
        <w:spacing w:after="0"/>
        <w:rPr>
          <w:color w:val="FF0000"/>
          <w:sz w:val="18"/>
          <w:szCs w:val="18"/>
          <w:lang w:val="ro-RO"/>
        </w:rPr>
      </w:pPr>
    </w:p>
    <w:p w:rsidR="00242D2F" w:rsidRPr="00242D2F" w:rsidRDefault="00242D2F" w:rsidP="00242D2F">
      <w:pPr>
        <w:tabs>
          <w:tab w:val="left" w:pos="2086"/>
        </w:tabs>
        <w:spacing w:after="0"/>
        <w:ind w:left="1707"/>
        <w:rPr>
          <w:sz w:val="18"/>
          <w:szCs w:val="18"/>
          <w:lang w:val="ro-RO"/>
        </w:rPr>
      </w:pPr>
    </w:p>
    <w:p w:rsidR="00242D2F" w:rsidRPr="00901081" w:rsidRDefault="00DC6432" w:rsidP="00901081">
      <w:pPr>
        <w:spacing w:before="120"/>
        <w:jc w:val="center"/>
        <w:rPr>
          <w:rFonts w:ascii="Trebuchet MS" w:hAnsi="Trebuchet MS" w:cs="Arial"/>
          <w:b/>
          <w:sz w:val="24"/>
          <w:szCs w:val="24"/>
          <w:lang w:val="ro-RO"/>
        </w:rPr>
      </w:pPr>
      <w:r w:rsidRPr="00901081">
        <w:rPr>
          <w:rFonts w:ascii="Trebuchet MS" w:hAnsi="Trebuchet MS" w:cs="Arial"/>
          <w:b/>
          <w:sz w:val="24"/>
          <w:szCs w:val="24"/>
          <w:lang w:val="ro-RO"/>
        </w:rPr>
        <w:t xml:space="preserve">Material instruire </w:t>
      </w:r>
      <w:r w:rsidR="00242D2F" w:rsidRPr="00901081">
        <w:rPr>
          <w:rFonts w:ascii="Trebuchet MS" w:hAnsi="Trebuchet MS" w:cs="Arial"/>
          <w:b/>
          <w:sz w:val="24"/>
          <w:szCs w:val="24"/>
          <w:lang w:val="ro-RO"/>
        </w:rPr>
        <w:t>Plumbul şi compuşii acestuia</w:t>
      </w: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jc w:val="center"/>
        <w:rPr>
          <w:rFonts w:ascii="Trebuchet MS" w:hAnsi="Trebuchet MS" w:cs="Arial"/>
          <w:b/>
          <w:sz w:val="24"/>
          <w:szCs w:val="24"/>
          <w:lang w:val="ro-RO"/>
        </w:rPr>
      </w:pPr>
      <w:r w:rsidRPr="00901081">
        <w:rPr>
          <w:rFonts w:ascii="Trebuchet MS" w:hAnsi="Trebuchet MS"/>
          <w:noProof/>
          <w:sz w:val="24"/>
          <w:szCs w:val="24"/>
        </w:rPr>
        <w:drawing>
          <wp:inline distT="0" distB="0" distL="0" distR="0">
            <wp:extent cx="2574925" cy="265557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74925" cy="2655570"/>
                    </a:xfrm>
                    <a:prstGeom prst="rect">
                      <a:avLst/>
                    </a:prstGeom>
                    <a:noFill/>
                    <a:ln w="9525">
                      <a:noFill/>
                      <a:miter lim="800000"/>
                      <a:headEnd/>
                      <a:tailEnd/>
                    </a:ln>
                  </pic:spPr>
                </pic:pic>
              </a:graphicData>
            </a:graphic>
          </wp:inline>
        </w:drawing>
      </w: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jc w:val="both"/>
        <w:rPr>
          <w:rFonts w:ascii="Trebuchet MS" w:hAnsi="Trebuchet MS" w:cs="Arial"/>
          <w:b/>
          <w:sz w:val="24"/>
          <w:szCs w:val="24"/>
          <w:lang w:val="ro-RO"/>
        </w:rPr>
      </w:pPr>
    </w:p>
    <w:p w:rsidR="00242D2F" w:rsidRPr="00901081" w:rsidRDefault="00242D2F" w:rsidP="00901081">
      <w:pPr>
        <w:spacing w:before="120"/>
        <w:ind w:left="3544"/>
        <w:jc w:val="both"/>
        <w:rPr>
          <w:rFonts w:ascii="Trebuchet MS" w:hAnsi="Trebuchet MS" w:cs="Arial"/>
          <w:b/>
          <w:sz w:val="24"/>
          <w:szCs w:val="24"/>
          <w:lang w:val="ro-RO"/>
        </w:rPr>
      </w:pPr>
    </w:p>
    <w:p w:rsidR="00242D2F" w:rsidRPr="00901081" w:rsidRDefault="00242D2F" w:rsidP="00901081">
      <w:pPr>
        <w:spacing w:before="120"/>
        <w:jc w:val="both"/>
        <w:rPr>
          <w:rFonts w:ascii="Trebuchet MS" w:hAnsi="Trebuchet MS" w:cs="Arial"/>
          <w:sz w:val="24"/>
          <w:szCs w:val="24"/>
          <w:lang w:val="ro-RO"/>
        </w:rPr>
        <w:sectPr w:rsidR="00242D2F" w:rsidRPr="00901081" w:rsidSect="00BE01C3">
          <w:headerReference w:type="default" r:id="rId8"/>
          <w:footerReference w:type="even" r:id="rId9"/>
          <w:footerReference w:type="default" r:id="rId10"/>
          <w:pgSz w:w="11907" w:h="16840" w:code="9"/>
          <w:pgMar w:top="1673" w:right="567" w:bottom="1701" w:left="567" w:header="454" w:footer="454" w:gutter="0"/>
          <w:cols w:space="720"/>
        </w:sectPr>
      </w:pPr>
    </w:p>
    <w:p w:rsidR="00242D2F" w:rsidRPr="00901081" w:rsidRDefault="00242D2F" w:rsidP="00901081">
      <w:pPr>
        <w:spacing w:before="120"/>
        <w:jc w:val="both"/>
        <w:rPr>
          <w:rFonts w:ascii="Trebuchet MS" w:hAnsi="Trebuchet MS" w:cs="Arial"/>
          <w:sz w:val="24"/>
          <w:szCs w:val="24"/>
          <w:lang w:val="ro-RO"/>
        </w:rPr>
      </w:pPr>
    </w:p>
    <w:p w:rsidR="00242D2F" w:rsidRPr="00901081" w:rsidRDefault="00242D2F" w:rsidP="00901081">
      <w:pPr>
        <w:pStyle w:val="Heading4"/>
        <w:shd w:val="clear" w:color="auto" w:fill="CCECFF"/>
        <w:spacing w:before="0" w:after="0"/>
        <w:ind w:hanging="7"/>
        <w:rPr>
          <w:rFonts w:ascii="Trebuchet MS" w:hAnsi="Trebuchet MS"/>
          <w:sz w:val="24"/>
          <w:szCs w:val="24"/>
          <w:lang w:val="ro-RO"/>
        </w:rPr>
      </w:pPr>
      <w:r w:rsidRPr="00901081">
        <w:rPr>
          <w:rFonts w:ascii="Trebuchet MS" w:hAnsi="Trebuchet MS" w:cs="Arial"/>
          <w:sz w:val="24"/>
          <w:szCs w:val="24"/>
          <w:lang w:val="ro-RO"/>
        </w:rPr>
        <w:t>INTRODUCERE</w:t>
      </w:r>
    </w:p>
    <w:p w:rsidR="00242D2F" w:rsidRPr="00901081" w:rsidRDefault="00242D2F" w:rsidP="00901081">
      <w:pPr>
        <w:jc w:val="both"/>
        <w:rPr>
          <w:rFonts w:ascii="Trebuchet MS" w:hAnsi="Trebuchet MS"/>
          <w:sz w:val="24"/>
          <w:szCs w:val="24"/>
        </w:rPr>
      </w:pPr>
    </w:p>
    <w:p w:rsidR="00242D2F" w:rsidRPr="00901081" w:rsidRDefault="00242D2F" w:rsidP="00901081">
      <w:pPr>
        <w:contextualSpacing/>
        <w:jc w:val="both"/>
        <w:rPr>
          <w:rFonts w:ascii="Trebuchet MS" w:hAnsi="Trebuchet MS"/>
          <w:sz w:val="24"/>
          <w:szCs w:val="24"/>
        </w:rPr>
      </w:pP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un toxic </w:t>
      </w:r>
      <w:proofErr w:type="spellStart"/>
      <w:r w:rsidRPr="00901081">
        <w:rPr>
          <w:rFonts w:ascii="Trebuchet MS" w:hAnsi="Trebuchet MS"/>
          <w:sz w:val="24"/>
          <w:szCs w:val="24"/>
        </w:rPr>
        <w:t>cumulativ</w:t>
      </w:r>
      <w:proofErr w:type="spellEnd"/>
      <w:r w:rsidRPr="00901081">
        <w:rPr>
          <w:rFonts w:ascii="Trebuchet MS" w:hAnsi="Trebuchet MS"/>
          <w:sz w:val="24"/>
          <w:szCs w:val="24"/>
        </w:rPr>
        <w:t xml:space="preserve"> care </w:t>
      </w:r>
      <w:proofErr w:type="spellStart"/>
      <w:r w:rsidRPr="00901081">
        <w:rPr>
          <w:rFonts w:ascii="Trebuchet MS" w:hAnsi="Trebuchet MS"/>
          <w:sz w:val="24"/>
          <w:szCs w:val="24"/>
        </w:rPr>
        <w:t>afectează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mai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multe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sisteme</w:t>
      </w:r>
      <w:proofErr w:type="spellEnd"/>
      <w:r w:rsidRPr="00901081">
        <w:rPr>
          <w:rFonts w:ascii="Trebuchet MS" w:hAnsi="Trebuchet MS"/>
          <w:sz w:val="24"/>
          <w:szCs w:val="24"/>
        </w:rPr>
        <w:t xml:space="preserve"> ale </w:t>
      </w:r>
      <w:proofErr w:type="spellStart"/>
      <w:r w:rsidRPr="00901081">
        <w:rPr>
          <w:rFonts w:ascii="Trebuchet MS" w:hAnsi="Trebuchet MS"/>
          <w:sz w:val="24"/>
          <w:szCs w:val="24"/>
        </w:rPr>
        <w:t>corpului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este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deosebit</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dăunător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din organism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distribuit</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creier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ficat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rinichi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oase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şi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este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depozitat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dinți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oase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unde</w:t>
      </w:r>
      <w:proofErr w:type="spellEnd"/>
      <w:r w:rsidRPr="00901081">
        <w:rPr>
          <w:rFonts w:ascii="Trebuchet MS" w:hAnsi="Trebuchet MS"/>
          <w:sz w:val="24"/>
          <w:szCs w:val="24"/>
        </w:rPr>
        <w:t xml:space="preserve"> se </w:t>
      </w:r>
      <w:proofErr w:type="spellStart"/>
      <w:r w:rsidRPr="00901081">
        <w:rPr>
          <w:rFonts w:ascii="Trebuchet MS" w:hAnsi="Trebuchet MS"/>
          <w:sz w:val="24"/>
          <w:szCs w:val="24"/>
        </w:rPr>
        <w:t>acumulează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timp</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Expunerea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umană</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de </w:t>
      </w:r>
      <w:proofErr w:type="spellStart"/>
      <w:r w:rsidRPr="00901081">
        <w:rPr>
          <w:rFonts w:ascii="Trebuchet MS" w:hAnsi="Trebuchet MS"/>
          <w:sz w:val="24"/>
          <w:szCs w:val="24"/>
        </w:rPr>
        <w:t>obicei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evaluată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prin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măsurarea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plumbului</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sânge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oase</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eliberat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sânge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timpul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sarcinii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devine</w:t>
      </w:r>
      <w:proofErr w:type="spellEnd"/>
      <w:r w:rsidRPr="00901081">
        <w:rPr>
          <w:rFonts w:ascii="Trebuchet MS" w:hAnsi="Trebuchet MS"/>
          <w:sz w:val="24"/>
          <w:szCs w:val="24"/>
        </w:rPr>
        <w:t xml:space="preserve"> o </w:t>
      </w:r>
      <w:proofErr w:type="spellStart"/>
      <w:r w:rsidRPr="00901081">
        <w:rPr>
          <w:rFonts w:ascii="Trebuchet MS" w:hAnsi="Trebuchet MS"/>
          <w:sz w:val="24"/>
          <w:szCs w:val="24"/>
        </w:rPr>
        <w:t>sursă</w:t>
      </w:r>
      <w:proofErr w:type="spellEnd"/>
      <w:r w:rsidRPr="00901081">
        <w:rPr>
          <w:rFonts w:ascii="Trebuchet MS" w:hAnsi="Trebuchet MS"/>
          <w:sz w:val="24"/>
          <w:szCs w:val="24"/>
        </w:rPr>
        <w:t xml:space="preserve"> de</w:t>
      </w:r>
    </w:p>
    <w:p w:rsidR="00242D2F" w:rsidRPr="00901081" w:rsidRDefault="00242D2F" w:rsidP="00901081">
      <w:pPr>
        <w:contextualSpacing/>
        <w:jc w:val="both"/>
        <w:rPr>
          <w:rFonts w:ascii="Trebuchet MS" w:hAnsi="Trebuchet MS"/>
          <w:sz w:val="24"/>
          <w:szCs w:val="24"/>
        </w:rPr>
      </w:pPr>
      <w:proofErr w:type="spellStart"/>
      <w:proofErr w:type="gramStart"/>
      <w:r w:rsidRPr="00901081">
        <w:rPr>
          <w:rFonts w:ascii="Trebuchet MS" w:hAnsi="Trebuchet MS"/>
          <w:sz w:val="24"/>
          <w:szCs w:val="24"/>
        </w:rPr>
        <w:t>expunere</w:t>
      </w:r>
      <w:proofErr w:type="spellEnd"/>
      <w:proofErr w:type="gramEnd"/>
      <w:r w:rsidRPr="00901081">
        <w:rPr>
          <w:rFonts w:ascii="Trebuchet MS" w:hAnsi="Trebuchet MS"/>
          <w:sz w:val="24"/>
          <w:szCs w:val="24"/>
        </w:rPr>
        <w:t xml:space="preserve"> la </w:t>
      </w:r>
      <w:proofErr w:type="spellStart"/>
      <w:r w:rsidRPr="00901081">
        <w:rPr>
          <w:rFonts w:ascii="Trebuchet MS" w:hAnsi="Trebuchet MS"/>
          <w:sz w:val="24"/>
          <w:szCs w:val="24"/>
        </w:rPr>
        <w:t>fătul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curs de </w:t>
      </w:r>
      <w:proofErr w:type="spellStart"/>
      <w:r w:rsidRPr="00901081">
        <w:rPr>
          <w:rFonts w:ascii="Trebuchet MS" w:hAnsi="Trebuchet MS"/>
          <w:sz w:val="24"/>
          <w:szCs w:val="24"/>
        </w:rPr>
        <w:t>dezvoltare</w:t>
      </w:r>
      <w:proofErr w:type="spellEnd"/>
      <w:r w:rsidRPr="00901081">
        <w:rPr>
          <w:rFonts w:ascii="Trebuchet MS" w:hAnsi="Trebuchet MS"/>
          <w:sz w:val="24"/>
          <w:szCs w:val="24"/>
        </w:rPr>
        <w:t xml:space="preserve">. Nu </w:t>
      </w:r>
      <w:proofErr w:type="spellStart"/>
      <w:r w:rsidRPr="00901081">
        <w:rPr>
          <w:rFonts w:ascii="Trebuchet MS" w:hAnsi="Trebuchet MS"/>
          <w:sz w:val="24"/>
          <w:szCs w:val="24"/>
        </w:rPr>
        <w:t>există</w:t>
      </w:r>
      <w:proofErr w:type="spellEnd"/>
      <w:r w:rsidRPr="00901081">
        <w:rPr>
          <w:rFonts w:ascii="Trebuchet MS" w:hAnsi="Trebuchet MS"/>
          <w:sz w:val="24"/>
          <w:szCs w:val="24"/>
        </w:rPr>
        <w:t xml:space="preserve"> </w:t>
      </w:r>
      <w:proofErr w:type="gramStart"/>
      <w:r w:rsidRPr="00901081">
        <w:rPr>
          <w:rFonts w:ascii="Trebuchet MS" w:hAnsi="Trebuchet MS"/>
          <w:sz w:val="24"/>
          <w:szCs w:val="24"/>
        </w:rPr>
        <w:t>un</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nivel</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expunere</w:t>
      </w:r>
      <w:proofErr w:type="spellEnd"/>
      <w:r w:rsidRPr="00901081">
        <w:rPr>
          <w:rFonts w:ascii="Trebuchet MS" w:hAnsi="Trebuchet MS"/>
          <w:sz w:val="24"/>
          <w:szCs w:val="24"/>
        </w:rPr>
        <w:t xml:space="preserve"> la plumb </w:t>
      </w:r>
      <w:proofErr w:type="spellStart"/>
      <w:r w:rsidRPr="00901081">
        <w:rPr>
          <w:rFonts w:ascii="Trebuchet MS" w:hAnsi="Trebuchet MS"/>
          <w:sz w:val="24"/>
          <w:szCs w:val="24"/>
        </w:rPr>
        <w:t>despre</w:t>
      </w:r>
      <w:proofErr w:type="spellEnd"/>
      <w:r w:rsidRPr="00901081">
        <w:rPr>
          <w:rFonts w:ascii="Trebuchet MS" w:hAnsi="Trebuchet MS"/>
          <w:sz w:val="24"/>
          <w:szCs w:val="24"/>
        </w:rPr>
        <w:t xml:space="preserve"> care se </w:t>
      </w:r>
      <w:proofErr w:type="spellStart"/>
      <w:r w:rsidRPr="00901081">
        <w:rPr>
          <w:rFonts w:ascii="Trebuchet MS" w:hAnsi="Trebuchet MS"/>
          <w:sz w:val="24"/>
          <w:szCs w:val="24"/>
        </w:rPr>
        <w:t>știe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că</w:t>
      </w:r>
      <w:proofErr w:type="spellEnd"/>
      <w:r w:rsidRPr="00901081">
        <w:rPr>
          <w:rFonts w:ascii="Trebuchet MS" w:hAnsi="Trebuchet MS"/>
          <w:sz w:val="24"/>
          <w:szCs w:val="24"/>
        </w:rPr>
        <w:t xml:space="preserve"> nu are </w:t>
      </w:r>
      <w:proofErr w:type="spellStart"/>
      <w:r w:rsidRPr="00901081">
        <w:rPr>
          <w:rFonts w:ascii="Trebuchet MS" w:hAnsi="Trebuchet MS"/>
          <w:sz w:val="24"/>
          <w:szCs w:val="24"/>
        </w:rPr>
        <w:t>efecte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nocive</w:t>
      </w:r>
      <w:proofErr w:type="spellEnd"/>
      <w:r w:rsidRPr="00901081">
        <w:rPr>
          <w:rFonts w:ascii="Trebuchet MS" w:hAnsi="Trebuchet MS"/>
          <w:sz w:val="24"/>
          <w:szCs w:val="24"/>
        </w:rPr>
        <w:t>.</w:t>
      </w:r>
    </w:p>
    <w:p w:rsidR="00242D2F" w:rsidRPr="00901081" w:rsidRDefault="00242D2F" w:rsidP="00901081">
      <w:pPr>
        <w:jc w:val="both"/>
        <w:rPr>
          <w:rFonts w:ascii="Trebuchet MS" w:hAnsi="Trebuchet MS"/>
          <w:sz w:val="24"/>
          <w:szCs w:val="24"/>
        </w:rPr>
      </w:pPr>
      <w:proofErr w:type="spellStart"/>
      <w:r w:rsidRPr="00901081">
        <w:rPr>
          <w:rFonts w:ascii="Trebuchet MS" w:hAnsi="Trebuchet MS"/>
          <w:sz w:val="24"/>
          <w:szCs w:val="24"/>
        </w:rPr>
        <w:t>Expunerea</w:t>
      </w:r>
      <w:proofErr w:type="spellEnd"/>
      <w:r w:rsidRPr="00901081">
        <w:rPr>
          <w:rFonts w:ascii="Trebuchet MS" w:hAnsi="Trebuchet MS"/>
          <w:sz w:val="24"/>
          <w:szCs w:val="24"/>
        </w:rPr>
        <w:t xml:space="preserve"> </w:t>
      </w:r>
      <w:proofErr w:type="gramStart"/>
      <w:r w:rsidRPr="00901081">
        <w:rPr>
          <w:rFonts w:ascii="Trebuchet MS" w:hAnsi="Trebuchet MS"/>
          <w:sz w:val="24"/>
          <w:szCs w:val="24"/>
        </w:rPr>
        <w:t>la plumb</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poate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prevenită</w:t>
      </w:r>
      <w:proofErr w:type="spellEnd"/>
      <w:r w:rsidRPr="00901081">
        <w:rPr>
          <w:rFonts w:ascii="Trebuchet MS" w:hAnsi="Trebuchet MS"/>
          <w:sz w:val="24"/>
          <w:szCs w:val="24"/>
        </w:rPr>
        <w:t>.</w:t>
      </w:r>
    </w:p>
    <w:p w:rsidR="00242D2F" w:rsidRPr="00901081" w:rsidRDefault="00242D2F" w:rsidP="00901081">
      <w:pPr>
        <w:contextualSpacing/>
        <w:jc w:val="both"/>
        <w:rPr>
          <w:rFonts w:ascii="Trebuchet MS" w:hAnsi="Trebuchet MS"/>
          <w:sz w:val="24"/>
          <w:szCs w:val="24"/>
        </w:rPr>
      </w:pP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un metal toxic natural care se </w:t>
      </w:r>
      <w:proofErr w:type="spellStart"/>
      <w:r w:rsidRPr="00901081">
        <w:rPr>
          <w:rFonts w:ascii="Trebuchet MS" w:hAnsi="Trebuchet MS"/>
          <w:sz w:val="24"/>
          <w:szCs w:val="24"/>
        </w:rPr>
        <w:t>găsește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scoarța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terestră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Utilizarea</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sa</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pe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scară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largă</w:t>
      </w:r>
      <w:proofErr w:type="spellEnd"/>
      <w:r w:rsidRPr="00901081">
        <w:rPr>
          <w:rFonts w:ascii="Trebuchet MS" w:hAnsi="Trebuchet MS"/>
          <w:sz w:val="24"/>
          <w:szCs w:val="24"/>
        </w:rPr>
        <w:t xml:space="preserve"> a </w:t>
      </w:r>
      <w:proofErr w:type="spellStart"/>
      <w:r w:rsidRPr="00901081">
        <w:rPr>
          <w:rFonts w:ascii="Trebuchet MS" w:hAnsi="Trebuchet MS"/>
          <w:sz w:val="24"/>
          <w:szCs w:val="24"/>
        </w:rPr>
        <w:t>dus</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contaminarea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extinsă</w:t>
      </w:r>
      <w:proofErr w:type="spellEnd"/>
      <w:r w:rsidRPr="00901081">
        <w:rPr>
          <w:rFonts w:ascii="Trebuchet MS" w:hAnsi="Trebuchet MS"/>
          <w:sz w:val="24"/>
          <w:szCs w:val="24"/>
        </w:rPr>
        <w:t xml:space="preserve"> a </w:t>
      </w:r>
      <w:proofErr w:type="spellStart"/>
      <w:r w:rsidRPr="00901081">
        <w:rPr>
          <w:rFonts w:ascii="Trebuchet MS" w:hAnsi="Trebuchet MS"/>
          <w:sz w:val="24"/>
          <w:szCs w:val="24"/>
        </w:rPr>
        <w:t>mediului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expunerea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umană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probleme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semnificative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sănătate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publică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multe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părți</w:t>
      </w:r>
      <w:proofErr w:type="spellEnd"/>
      <w:r w:rsidRPr="00901081">
        <w:rPr>
          <w:rFonts w:ascii="Trebuchet MS" w:hAnsi="Trebuchet MS"/>
          <w:sz w:val="24"/>
          <w:szCs w:val="24"/>
        </w:rPr>
        <w:t xml:space="preserve"> ale </w:t>
      </w:r>
      <w:proofErr w:type="spellStart"/>
      <w:r w:rsidRPr="00901081">
        <w:rPr>
          <w:rFonts w:ascii="Trebuchet MS" w:hAnsi="Trebuchet MS"/>
          <w:sz w:val="24"/>
          <w:szCs w:val="24"/>
        </w:rPr>
        <w:t>lumii</w:t>
      </w:r>
      <w:proofErr w:type="spellEnd"/>
      <w:r w:rsidRPr="00901081">
        <w:rPr>
          <w:rFonts w:ascii="Trebuchet MS" w:hAnsi="Trebuchet MS"/>
          <w:sz w:val="24"/>
          <w:szCs w:val="24"/>
        </w:rPr>
        <w:t>.</w:t>
      </w:r>
    </w:p>
    <w:p w:rsidR="00242D2F" w:rsidRPr="00901081" w:rsidRDefault="00242D2F" w:rsidP="00901081">
      <w:pPr>
        <w:contextualSpacing/>
        <w:jc w:val="both"/>
        <w:rPr>
          <w:rFonts w:ascii="Trebuchet MS" w:hAnsi="Trebuchet MS"/>
          <w:sz w:val="24"/>
          <w:szCs w:val="24"/>
        </w:rPr>
      </w:pPr>
      <w:proofErr w:type="spellStart"/>
      <w:r w:rsidRPr="00901081">
        <w:rPr>
          <w:rFonts w:ascii="Trebuchet MS" w:hAnsi="Trebuchet MS"/>
          <w:sz w:val="24"/>
          <w:szCs w:val="24"/>
        </w:rPr>
        <w:t>Surse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importante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contaminare</w:t>
      </w:r>
      <w:proofErr w:type="spellEnd"/>
      <w:r w:rsidRPr="00901081">
        <w:rPr>
          <w:rFonts w:ascii="Trebuchet MS" w:hAnsi="Trebuchet MS"/>
          <w:sz w:val="24"/>
          <w:szCs w:val="24"/>
        </w:rPr>
        <w:t xml:space="preserve"> a </w:t>
      </w:r>
      <w:proofErr w:type="spellStart"/>
      <w:r w:rsidRPr="00901081">
        <w:rPr>
          <w:rFonts w:ascii="Trebuchet MS" w:hAnsi="Trebuchet MS"/>
          <w:sz w:val="24"/>
          <w:szCs w:val="24"/>
        </w:rPr>
        <w:t>mediului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provin</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activitățile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minerit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topire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reciclare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utilizarea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într</w:t>
      </w:r>
      <w:proofErr w:type="spellEnd"/>
      <w:r w:rsidRPr="00901081">
        <w:rPr>
          <w:rFonts w:ascii="Trebuchet MS" w:hAnsi="Trebuchet MS"/>
          <w:sz w:val="24"/>
          <w:szCs w:val="24"/>
        </w:rPr>
        <w:t xml:space="preserve">-o </w:t>
      </w:r>
      <w:proofErr w:type="spellStart"/>
      <w:proofErr w:type="gramStart"/>
      <w:r w:rsidRPr="00901081">
        <w:rPr>
          <w:rFonts w:ascii="Trebuchet MS" w:hAnsi="Trebuchet MS"/>
          <w:sz w:val="24"/>
          <w:szCs w:val="24"/>
        </w:rPr>
        <w:t>gamă</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largă</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produse</w:t>
      </w:r>
      <w:proofErr w:type="spellEnd"/>
      <w:r w:rsidRPr="00901081">
        <w:rPr>
          <w:rFonts w:ascii="Trebuchet MS" w:hAnsi="Trebuchet MS"/>
          <w:sz w:val="24"/>
          <w:szCs w:val="24"/>
        </w:rPr>
        <w:t xml:space="preserve">. Mai </w:t>
      </w:r>
      <w:proofErr w:type="spellStart"/>
      <w:r w:rsidRPr="00901081">
        <w:rPr>
          <w:rFonts w:ascii="Trebuchet MS" w:hAnsi="Trebuchet MS"/>
          <w:sz w:val="24"/>
          <w:szCs w:val="24"/>
        </w:rPr>
        <w:t>mult</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trei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sferturi</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consumul</w:t>
      </w:r>
      <w:proofErr w:type="spellEnd"/>
      <w:r w:rsidRPr="00901081">
        <w:rPr>
          <w:rFonts w:ascii="Trebuchet MS" w:hAnsi="Trebuchet MS"/>
          <w:sz w:val="24"/>
          <w:szCs w:val="24"/>
        </w:rPr>
        <w:t xml:space="preserve"> global de plumb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destinat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fabricării</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baterii</w:t>
      </w:r>
      <w:proofErr w:type="spellEnd"/>
      <w:r w:rsidRPr="00901081">
        <w:rPr>
          <w:rFonts w:ascii="Trebuchet MS" w:hAnsi="Trebuchet MS"/>
          <w:sz w:val="24"/>
          <w:szCs w:val="24"/>
        </w:rPr>
        <w:t xml:space="preserve"> plumb-acid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autovehicule</w:t>
      </w:r>
      <w:proofErr w:type="spellEnd"/>
      <w:r w:rsidRPr="00901081">
        <w:rPr>
          <w:rFonts w:ascii="Trebuchet MS" w:hAnsi="Trebuchet MS"/>
          <w:sz w:val="24"/>
          <w:szCs w:val="24"/>
        </w:rPr>
        <w:t xml:space="preserve">. Cu </w:t>
      </w:r>
      <w:proofErr w:type="spellStart"/>
      <w:r w:rsidRPr="00901081">
        <w:rPr>
          <w:rFonts w:ascii="Trebuchet MS" w:hAnsi="Trebuchet MS"/>
          <w:sz w:val="24"/>
          <w:szCs w:val="24"/>
        </w:rPr>
        <w:t>toate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acestea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este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folosit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multe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alte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produse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exemplu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pigmenți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vopsele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lipire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vitralii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sticlărie</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cristal</w:t>
      </w:r>
      <w:proofErr w:type="spellEnd"/>
      <w:r w:rsidRPr="00901081">
        <w:rPr>
          <w:rFonts w:ascii="Trebuchet MS" w:hAnsi="Trebuchet MS"/>
          <w:sz w:val="24"/>
          <w:szCs w:val="24"/>
        </w:rPr>
        <w:t xml:space="preserve"> de plumb, </w:t>
      </w:r>
      <w:proofErr w:type="spellStart"/>
      <w:r w:rsidRPr="00901081">
        <w:rPr>
          <w:rFonts w:ascii="Trebuchet MS" w:hAnsi="Trebuchet MS"/>
          <w:sz w:val="24"/>
          <w:szCs w:val="24"/>
        </w:rPr>
        <w:t>muniție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glazuri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ceramice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bijuterii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jucării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unele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cosmetice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precum</w:t>
      </w:r>
      <w:proofErr w:type="spellEnd"/>
      <w:r w:rsidRPr="00901081">
        <w:rPr>
          <w:rFonts w:ascii="Trebuchet MS" w:hAnsi="Trebuchet MS"/>
          <w:sz w:val="24"/>
          <w:szCs w:val="24"/>
        </w:rPr>
        <w:t xml:space="preserve"> kohl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sindoor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medicamente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tradiționale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utilizate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țări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precum</w:t>
      </w:r>
      <w:proofErr w:type="spellEnd"/>
      <w:r w:rsidRPr="00901081">
        <w:rPr>
          <w:rFonts w:ascii="Trebuchet MS" w:hAnsi="Trebuchet MS"/>
          <w:sz w:val="24"/>
          <w:szCs w:val="24"/>
        </w:rPr>
        <w:t xml:space="preserve"> India, </w:t>
      </w:r>
      <w:proofErr w:type="spellStart"/>
      <w:r w:rsidRPr="00901081">
        <w:rPr>
          <w:rFonts w:ascii="Trebuchet MS" w:hAnsi="Trebuchet MS"/>
          <w:sz w:val="24"/>
          <w:szCs w:val="24"/>
        </w:rPr>
        <w:t>Mexic</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Vietnam. O mare parte din </w:t>
      </w: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comercializat</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nivel</w:t>
      </w:r>
      <w:proofErr w:type="spellEnd"/>
      <w:r w:rsidRPr="00901081">
        <w:rPr>
          <w:rFonts w:ascii="Trebuchet MS" w:hAnsi="Trebuchet MS"/>
          <w:sz w:val="24"/>
          <w:szCs w:val="24"/>
        </w:rPr>
        <w:t xml:space="preserve"> global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acum</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obținut</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reciclare</w:t>
      </w:r>
      <w:proofErr w:type="spellEnd"/>
      <w:r w:rsidRPr="00901081">
        <w:rPr>
          <w:rFonts w:ascii="Trebuchet MS" w:hAnsi="Trebuchet MS"/>
          <w:sz w:val="24"/>
          <w:szCs w:val="24"/>
        </w:rPr>
        <w:t>.</w:t>
      </w:r>
    </w:p>
    <w:p w:rsidR="00242D2F" w:rsidRPr="00901081" w:rsidRDefault="00242D2F" w:rsidP="00901081">
      <w:pPr>
        <w:pStyle w:val="Heading4"/>
        <w:shd w:val="clear" w:color="auto" w:fill="CCECFF"/>
        <w:spacing w:before="0" w:after="0"/>
        <w:ind w:hanging="7"/>
        <w:rPr>
          <w:rFonts w:ascii="Trebuchet MS" w:hAnsi="Trebuchet MS" w:cs="Arial"/>
          <w:sz w:val="24"/>
          <w:szCs w:val="24"/>
          <w:lang w:val="ro-RO"/>
        </w:rPr>
      </w:pPr>
      <w:r w:rsidRPr="00901081">
        <w:rPr>
          <w:rFonts w:ascii="Trebuchet MS" w:hAnsi="Trebuchet MS" w:cs="Arial"/>
          <w:sz w:val="24"/>
          <w:szCs w:val="24"/>
          <w:lang w:val="ro-RO"/>
        </w:rPr>
        <w:t>EXPUNEREA LUCRĂTORILOR</w:t>
      </w:r>
    </w:p>
    <w:p w:rsidR="00242D2F" w:rsidRPr="00901081" w:rsidRDefault="00242D2F" w:rsidP="00901081">
      <w:pPr>
        <w:spacing w:after="0"/>
        <w:jc w:val="both"/>
        <w:rPr>
          <w:rFonts w:ascii="Trebuchet MS" w:hAnsi="Trebuchet MS"/>
          <w:sz w:val="24"/>
          <w:szCs w:val="24"/>
          <w:lang w:val="ro-RO"/>
        </w:rPr>
      </w:pPr>
    </w:p>
    <w:p w:rsidR="00242D2F" w:rsidRPr="00901081" w:rsidRDefault="00242D2F" w:rsidP="00901081">
      <w:pPr>
        <w:jc w:val="both"/>
        <w:rPr>
          <w:rFonts w:ascii="Trebuchet MS" w:hAnsi="Trebuchet MS"/>
          <w:sz w:val="24"/>
          <w:szCs w:val="24"/>
        </w:rPr>
      </w:pPr>
      <w:proofErr w:type="spellStart"/>
      <w:proofErr w:type="gram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compușii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săi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anorganici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denumiţi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continuare</w:t>
      </w:r>
      <w:proofErr w:type="spellEnd"/>
      <w:r w:rsidRPr="00901081">
        <w:rPr>
          <w:rFonts w:ascii="Trebuchet MS" w:hAnsi="Trebuchet MS"/>
          <w:sz w:val="24"/>
          <w:szCs w:val="24"/>
        </w:rPr>
        <w:t xml:space="preserve"> „plumb”) </w:t>
      </w:r>
      <w:proofErr w:type="spellStart"/>
      <w:r w:rsidRPr="00901081">
        <w:rPr>
          <w:rFonts w:ascii="Trebuchet MS" w:hAnsi="Trebuchet MS"/>
          <w:sz w:val="24"/>
          <w:szCs w:val="24"/>
        </w:rPr>
        <w:t>sunt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substanțe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toxice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reproducere</w:t>
      </w:r>
      <w:proofErr w:type="spellEnd"/>
      <w:r w:rsidRPr="00901081">
        <w:rPr>
          <w:rFonts w:ascii="Trebuchet MS" w:hAnsi="Trebuchet MS"/>
          <w:sz w:val="24"/>
          <w:szCs w:val="24"/>
        </w:rPr>
        <w:t xml:space="preserve"> care pot </w:t>
      </w:r>
      <w:proofErr w:type="spellStart"/>
      <w:r w:rsidRPr="00901081">
        <w:rPr>
          <w:rFonts w:ascii="Trebuchet MS" w:hAnsi="Trebuchet MS"/>
          <w:sz w:val="24"/>
          <w:szCs w:val="24"/>
        </w:rPr>
        <w:t>afecta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atât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fertilitatea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cât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dezvoltarea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fătului</w:t>
      </w:r>
      <w:proofErr w:type="spellEnd"/>
      <w:r w:rsidRPr="00901081">
        <w:rPr>
          <w:rFonts w:ascii="Trebuchet MS" w:hAnsi="Trebuchet MS"/>
          <w:sz w:val="24"/>
          <w:szCs w:val="24"/>
        </w:rPr>
        <w:t>.</w:t>
      </w:r>
      <w:proofErr w:type="gramEnd"/>
    </w:p>
    <w:p w:rsidR="00901081" w:rsidRDefault="00242D2F" w:rsidP="00901081">
      <w:pPr>
        <w:jc w:val="both"/>
        <w:rPr>
          <w:rFonts w:ascii="Trebuchet MS" w:hAnsi="Trebuchet MS"/>
          <w:sz w:val="24"/>
          <w:szCs w:val="24"/>
        </w:rPr>
      </w:pPr>
      <w:proofErr w:type="spellStart"/>
      <w:r w:rsidRPr="00901081">
        <w:rPr>
          <w:rFonts w:ascii="Trebuchet MS" w:hAnsi="Trebuchet MS"/>
          <w:sz w:val="24"/>
          <w:szCs w:val="24"/>
        </w:rPr>
        <w:t>Plumbul</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utilizat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prezent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o mare </w:t>
      </w:r>
      <w:proofErr w:type="spellStart"/>
      <w:r w:rsidRPr="00901081">
        <w:rPr>
          <w:rFonts w:ascii="Trebuchet MS" w:hAnsi="Trebuchet MS"/>
          <w:sz w:val="24"/>
          <w:szCs w:val="24"/>
        </w:rPr>
        <w:t>varietate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aplicații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plus, </w:t>
      </w:r>
      <w:proofErr w:type="spellStart"/>
      <w:r w:rsidRPr="00901081">
        <w:rPr>
          <w:rFonts w:ascii="Trebuchet MS" w:hAnsi="Trebuchet MS"/>
          <w:sz w:val="24"/>
          <w:szCs w:val="24"/>
        </w:rPr>
        <w:t>lucrătorii</w:t>
      </w:r>
      <w:proofErr w:type="spellEnd"/>
      <w:r w:rsidRPr="00901081">
        <w:rPr>
          <w:rFonts w:ascii="Trebuchet MS" w:hAnsi="Trebuchet MS"/>
          <w:sz w:val="24"/>
          <w:szCs w:val="24"/>
        </w:rPr>
        <w:t xml:space="preserve"> pot </w:t>
      </w:r>
      <w:proofErr w:type="spellStart"/>
      <w:r w:rsidRPr="00901081">
        <w:rPr>
          <w:rFonts w:ascii="Trebuchet MS" w:hAnsi="Trebuchet MS"/>
          <w:sz w:val="24"/>
          <w:szCs w:val="24"/>
        </w:rPr>
        <w:t>fi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expuși</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niveluri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semnificative</w:t>
      </w:r>
      <w:proofErr w:type="spellEnd"/>
      <w:r w:rsidRPr="00901081">
        <w:rPr>
          <w:rFonts w:ascii="Trebuchet MS" w:hAnsi="Trebuchet MS"/>
          <w:sz w:val="24"/>
          <w:szCs w:val="24"/>
        </w:rPr>
        <w:t xml:space="preserve"> la plumb din </w:t>
      </w:r>
      <w:proofErr w:type="spellStart"/>
      <w:r w:rsidRPr="00901081">
        <w:rPr>
          <w:rFonts w:ascii="Trebuchet MS" w:hAnsi="Trebuchet MS"/>
          <w:sz w:val="24"/>
          <w:szCs w:val="24"/>
        </w:rPr>
        <w:t>cauza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aplicațiilor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istorice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activități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precum</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renovarea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colectarea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deșeurilor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reciclarea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remedierea</w:t>
      </w:r>
      <w:proofErr w:type="spellEnd"/>
      <w:r w:rsidRPr="00901081">
        <w:rPr>
          <w:rFonts w:ascii="Trebuchet MS" w:hAnsi="Trebuchet MS"/>
          <w:sz w:val="24"/>
          <w:szCs w:val="24"/>
        </w:rPr>
        <w:t xml:space="preserve">. Se </w:t>
      </w:r>
      <w:proofErr w:type="spellStart"/>
      <w:r w:rsidRPr="00901081">
        <w:rPr>
          <w:rFonts w:ascii="Trebuchet MS" w:hAnsi="Trebuchet MS"/>
          <w:sz w:val="24"/>
          <w:szCs w:val="24"/>
        </w:rPr>
        <w:t>estimează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aproximativ</w:t>
      </w:r>
      <w:proofErr w:type="spellEnd"/>
      <w:r w:rsidRPr="00901081">
        <w:rPr>
          <w:rFonts w:ascii="Trebuchet MS" w:hAnsi="Trebuchet MS"/>
          <w:sz w:val="24"/>
          <w:szCs w:val="24"/>
        </w:rPr>
        <w:t xml:space="preserve"> 50 000 </w:t>
      </w:r>
      <w:proofErr w:type="spellStart"/>
      <w:r w:rsidRPr="00901081">
        <w:rPr>
          <w:rFonts w:ascii="Trebuchet MS" w:hAnsi="Trebuchet MS"/>
          <w:sz w:val="24"/>
          <w:szCs w:val="24"/>
        </w:rPr>
        <w:t>până</w:t>
      </w:r>
      <w:proofErr w:type="spellEnd"/>
      <w:r w:rsidRPr="00901081">
        <w:rPr>
          <w:rFonts w:ascii="Trebuchet MS" w:hAnsi="Trebuchet MS"/>
          <w:sz w:val="24"/>
          <w:szCs w:val="24"/>
        </w:rPr>
        <w:t xml:space="preserve"> la 150 000 de </w:t>
      </w:r>
      <w:proofErr w:type="spellStart"/>
      <w:r w:rsidRPr="00901081">
        <w:rPr>
          <w:rFonts w:ascii="Trebuchet MS" w:hAnsi="Trebuchet MS"/>
          <w:sz w:val="24"/>
          <w:szCs w:val="24"/>
        </w:rPr>
        <w:t>lucrători</w:t>
      </w:r>
      <w:proofErr w:type="spellEnd"/>
      <w:r w:rsidRPr="00901081">
        <w:rPr>
          <w:rFonts w:ascii="Trebuchet MS" w:hAnsi="Trebuchet MS"/>
          <w:sz w:val="24"/>
          <w:szCs w:val="24"/>
        </w:rPr>
        <w:t xml:space="preserve"> din UE </w:t>
      </w:r>
      <w:proofErr w:type="spellStart"/>
      <w:r w:rsidRPr="00901081">
        <w:rPr>
          <w:rFonts w:ascii="Trebuchet MS" w:hAnsi="Trebuchet MS"/>
          <w:sz w:val="24"/>
          <w:szCs w:val="24"/>
        </w:rPr>
        <w:t>sunt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expuși</w:t>
      </w:r>
      <w:proofErr w:type="spellEnd"/>
      <w:r w:rsidRPr="00901081">
        <w:rPr>
          <w:rFonts w:ascii="Trebuchet MS" w:hAnsi="Trebuchet MS"/>
          <w:sz w:val="24"/>
          <w:szCs w:val="24"/>
        </w:rPr>
        <w:t xml:space="preserve"> la plumb. </w:t>
      </w:r>
      <w:proofErr w:type="spellStart"/>
      <w:r w:rsidRPr="00901081">
        <w:rPr>
          <w:rFonts w:ascii="Trebuchet MS" w:hAnsi="Trebuchet MS"/>
          <w:sz w:val="24"/>
          <w:szCs w:val="24"/>
        </w:rPr>
        <w:t>Determinarea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unui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număr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precis</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dificilă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deoarece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lucrătorii</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sectoare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precum</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demolarea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gestionarea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deșeurilor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precum</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cei</w:t>
      </w:r>
      <w:proofErr w:type="spellEnd"/>
      <w:r w:rsidRPr="00901081">
        <w:rPr>
          <w:rFonts w:ascii="Trebuchet MS" w:hAnsi="Trebuchet MS"/>
          <w:sz w:val="24"/>
          <w:szCs w:val="24"/>
        </w:rPr>
        <w:t xml:space="preserve"> </w:t>
      </w:r>
    </w:p>
    <w:p w:rsidR="00242D2F" w:rsidRPr="00901081" w:rsidRDefault="00242D2F" w:rsidP="00901081">
      <w:pPr>
        <w:jc w:val="both"/>
        <w:rPr>
          <w:rFonts w:ascii="Trebuchet MS" w:hAnsi="Trebuchet MS"/>
          <w:sz w:val="24"/>
          <w:szCs w:val="24"/>
        </w:rPr>
      </w:pPr>
      <w:proofErr w:type="gramStart"/>
      <w:r w:rsidRPr="00901081">
        <w:rPr>
          <w:rFonts w:ascii="Trebuchet MS" w:hAnsi="Trebuchet MS"/>
          <w:sz w:val="24"/>
          <w:szCs w:val="24"/>
        </w:rPr>
        <w:lastRenderedPageBreak/>
        <w:t>care</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folosesc</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articole</w:t>
      </w:r>
      <w:proofErr w:type="spellEnd"/>
      <w:r w:rsidRPr="00901081">
        <w:rPr>
          <w:rFonts w:ascii="Trebuchet MS" w:hAnsi="Trebuchet MS"/>
          <w:sz w:val="24"/>
          <w:szCs w:val="24"/>
        </w:rPr>
        <w:t xml:space="preserve"> din plumb </w:t>
      </w:r>
      <w:proofErr w:type="spellStart"/>
      <w:r w:rsidRPr="00901081">
        <w:rPr>
          <w:rFonts w:ascii="Trebuchet MS" w:hAnsi="Trebuchet MS"/>
          <w:sz w:val="24"/>
          <w:szCs w:val="24"/>
        </w:rPr>
        <w:t>metalic</w:t>
      </w:r>
      <w:proofErr w:type="spellEnd"/>
      <w:r w:rsidRPr="00901081">
        <w:rPr>
          <w:rFonts w:ascii="Trebuchet MS" w:hAnsi="Trebuchet MS"/>
          <w:sz w:val="24"/>
          <w:szCs w:val="24"/>
        </w:rPr>
        <w:t xml:space="preserve"> pot </w:t>
      </w:r>
      <w:proofErr w:type="spellStart"/>
      <w:r w:rsidRPr="00901081">
        <w:rPr>
          <w:rFonts w:ascii="Trebuchet MS" w:hAnsi="Trebuchet MS"/>
          <w:sz w:val="24"/>
          <w:szCs w:val="24"/>
        </w:rPr>
        <w:t>fi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doar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ocazional</w:t>
      </w:r>
      <w:proofErr w:type="spellEnd"/>
      <w:r w:rsidRPr="00901081">
        <w:rPr>
          <w:rFonts w:ascii="Trebuchet MS" w:hAnsi="Trebuchet MS"/>
          <w:sz w:val="24"/>
          <w:szCs w:val="24"/>
        </w:rPr>
        <w:t xml:space="preserve"> la plumb, </w:t>
      </w:r>
      <w:proofErr w:type="spellStart"/>
      <w:r w:rsidRPr="00901081">
        <w:rPr>
          <w:rFonts w:ascii="Trebuchet MS" w:hAnsi="Trebuchet MS"/>
          <w:sz w:val="24"/>
          <w:szCs w:val="24"/>
        </w:rPr>
        <w:t>dar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uneori</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niveluri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relativ</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ridicate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Aproximativ</w:t>
      </w:r>
      <w:proofErr w:type="spellEnd"/>
      <w:r w:rsidRPr="00901081">
        <w:rPr>
          <w:rFonts w:ascii="Trebuchet MS" w:hAnsi="Trebuchet MS"/>
          <w:sz w:val="24"/>
          <w:szCs w:val="24"/>
        </w:rPr>
        <w:t xml:space="preserve"> 300 de </w:t>
      </w:r>
      <w:proofErr w:type="spellStart"/>
      <w:r w:rsidRPr="00901081">
        <w:rPr>
          <w:rFonts w:ascii="Trebuchet MS" w:hAnsi="Trebuchet MS"/>
          <w:sz w:val="24"/>
          <w:szCs w:val="24"/>
        </w:rPr>
        <w:t>cazuri</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probleme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sănătate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apar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fiecare</w:t>
      </w:r>
      <w:proofErr w:type="spellEnd"/>
      <w:r w:rsidRPr="00901081">
        <w:rPr>
          <w:rFonts w:ascii="Trebuchet MS" w:hAnsi="Trebuchet MS"/>
          <w:sz w:val="24"/>
          <w:szCs w:val="24"/>
        </w:rPr>
        <w:t xml:space="preserve"> an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UE ca </w:t>
      </w:r>
      <w:proofErr w:type="spellStart"/>
      <w:r w:rsidRPr="00901081">
        <w:rPr>
          <w:rFonts w:ascii="Trebuchet MS" w:hAnsi="Trebuchet MS"/>
          <w:sz w:val="24"/>
          <w:szCs w:val="24"/>
        </w:rPr>
        <w:t>urmare</w:t>
      </w:r>
      <w:proofErr w:type="spellEnd"/>
      <w:r w:rsidRPr="00901081">
        <w:rPr>
          <w:rFonts w:ascii="Trebuchet MS" w:hAnsi="Trebuchet MS"/>
          <w:sz w:val="24"/>
          <w:szCs w:val="24"/>
        </w:rPr>
        <w:t xml:space="preserve"> </w:t>
      </w:r>
      <w:proofErr w:type="gramStart"/>
      <w:r w:rsidRPr="00901081">
        <w:rPr>
          <w:rFonts w:ascii="Trebuchet MS" w:hAnsi="Trebuchet MS"/>
          <w:sz w:val="24"/>
          <w:szCs w:val="24"/>
        </w:rPr>
        <w:t>a</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expunerii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profesionale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trecute</w:t>
      </w:r>
      <w:proofErr w:type="spellEnd"/>
      <w:r w:rsidRPr="00901081">
        <w:rPr>
          <w:rFonts w:ascii="Trebuchet MS" w:hAnsi="Trebuchet MS"/>
          <w:sz w:val="24"/>
          <w:szCs w:val="24"/>
        </w:rPr>
        <w:t xml:space="preserve"> la plumb. </w:t>
      </w:r>
      <w:proofErr w:type="spellStart"/>
      <w:r w:rsidRPr="00901081">
        <w:rPr>
          <w:rFonts w:ascii="Trebuchet MS" w:hAnsi="Trebuchet MS"/>
          <w:sz w:val="24"/>
          <w:szCs w:val="24"/>
        </w:rPr>
        <w:t>Această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expunere</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importantă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datorită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posibilității</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acumulare</w:t>
      </w:r>
      <w:proofErr w:type="spellEnd"/>
      <w:r w:rsidRPr="00901081">
        <w:rPr>
          <w:rFonts w:ascii="Trebuchet MS" w:hAnsi="Trebuchet MS"/>
          <w:sz w:val="24"/>
          <w:szCs w:val="24"/>
        </w:rPr>
        <w:t xml:space="preserve"> a </w:t>
      </w:r>
      <w:proofErr w:type="spellStart"/>
      <w:r w:rsidRPr="00901081">
        <w:rPr>
          <w:rFonts w:ascii="Trebuchet MS" w:hAnsi="Trebuchet MS"/>
          <w:sz w:val="24"/>
          <w:szCs w:val="24"/>
        </w:rPr>
        <w:t>plumbului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oase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contribuind</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astfel</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sarcina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generală</w:t>
      </w:r>
      <w:proofErr w:type="spellEnd"/>
      <w:r w:rsidRPr="00901081">
        <w:rPr>
          <w:rFonts w:ascii="Trebuchet MS" w:hAnsi="Trebuchet MS"/>
          <w:sz w:val="24"/>
          <w:szCs w:val="24"/>
        </w:rPr>
        <w:t xml:space="preserve"> a </w:t>
      </w:r>
      <w:proofErr w:type="spellStart"/>
      <w:r w:rsidRPr="00901081">
        <w:rPr>
          <w:rFonts w:ascii="Trebuchet MS" w:hAnsi="Trebuchet MS"/>
          <w:sz w:val="24"/>
          <w:szCs w:val="24"/>
        </w:rPr>
        <w:t>corpului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probabilitatea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unei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boli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cronice</w:t>
      </w:r>
      <w:proofErr w:type="spellEnd"/>
      <w:r w:rsidRPr="00901081">
        <w:rPr>
          <w:rFonts w:ascii="Trebuchet MS" w:hAnsi="Trebuchet MS"/>
          <w:sz w:val="24"/>
          <w:szCs w:val="24"/>
        </w:rPr>
        <w:t>.</w:t>
      </w:r>
    </w:p>
    <w:p w:rsidR="00242D2F" w:rsidRPr="00901081" w:rsidRDefault="00242D2F" w:rsidP="00901081">
      <w:pPr>
        <w:jc w:val="both"/>
        <w:rPr>
          <w:rFonts w:ascii="Trebuchet MS" w:hAnsi="Trebuchet MS"/>
          <w:sz w:val="24"/>
          <w:szCs w:val="24"/>
        </w:rPr>
      </w:pPr>
      <w:proofErr w:type="spellStart"/>
      <w:proofErr w:type="gramStart"/>
      <w:r w:rsidRPr="00901081">
        <w:rPr>
          <w:rFonts w:ascii="Trebuchet MS" w:hAnsi="Trebuchet MS"/>
          <w:sz w:val="24"/>
          <w:szCs w:val="24"/>
        </w:rPr>
        <w:t>Principalele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sectoare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industrială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utilizarea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plumbului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sunt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primară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secundară</w:t>
      </w:r>
      <w:proofErr w:type="spellEnd"/>
      <w:r w:rsidRPr="00901081">
        <w:rPr>
          <w:rFonts w:ascii="Trebuchet MS" w:hAnsi="Trebuchet MS"/>
          <w:sz w:val="24"/>
          <w:szCs w:val="24"/>
        </w:rPr>
        <w:t xml:space="preserve"> de plumb (</w:t>
      </w:r>
      <w:proofErr w:type="spellStart"/>
      <w:r w:rsidRPr="00901081">
        <w:rPr>
          <w:rFonts w:ascii="Trebuchet MS" w:hAnsi="Trebuchet MS"/>
          <w:sz w:val="24"/>
          <w:szCs w:val="24"/>
        </w:rPr>
        <w:t>inclusiv</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reciclarea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bateriilor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baterii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foi</w:t>
      </w:r>
      <w:proofErr w:type="spellEnd"/>
      <w:r w:rsidRPr="00901081">
        <w:rPr>
          <w:rFonts w:ascii="Trebuchet MS" w:hAnsi="Trebuchet MS"/>
          <w:sz w:val="24"/>
          <w:szCs w:val="24"/>
        </w:rPr>
        <w:t xml:space="preserve"> de plumb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muniție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producerea</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oxizi</w:t>
      </w:r>
      <w:proofErr w:type="spellEnd"/>
      <w:r w:rsidRPr="00901081">
        <w:rPr>
          <w:rFonts w:ascii="Trebuchet MS" w:hAnsi="Trebuchet MS"/>
          <w:sz w:val="24"/>
          <w:szCs w:val="24"/>
        </w:rPr>
        <w:t xml:space="preserve"> de plumb;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sticlă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ceramică</w:t>
      </w:r>
      <w:proofErr w:type="spellEnd"/>
      <w:r w:rsidRPr="00901081">
        <w:rPr>
          <w:rFonts w:ascii="Trebuchet MS" w:hAnsi="Trebuchet MS"/>
          <w:sz w:val="24"/>
          <w:szCs w:val="24"/>
        </w:rPr>
        <w:t xml:space="preserve"> cu plumb.</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Expunerea</w:t>
      </w:r>
      <w:proofErr w:type="spellEnd"/>
      <w:r w:rsidRPr="00901081">
        <w:rPr>
          <w:rFonts w:ascii="Trebuchet MS" w:hAnsi="Trebuchet MS"/>
          <w:sz w:val="24"/>
          <w:szCs w:val="24"/>
        </w:rPr>
        <w:t xml:space="preserve"> la plumb </w:t>
      </w:r>
      <w:proofErr w:type="spellStart"/>
      <w:proofErr w:type="gramStart"/>
      <w:r w:rsidRPr="00901081">
        <w:rPr>
          <w:rFonts w:ascii="Trebuchet MS" w:hAnsi="Trebuchet MS"/>
          <w:sz w:val="24"/>
          <w:szCs w:val="24"/>
        </w:rPr>
        <w:t>este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posibilă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alte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aplicații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industriale</w:t>
      </w:r>
      <w:proofErr w:type="spellEnd"/>
      <w:r w:rsidRPr="00901081">
        <w:rPr>
          <w:rFonts w:ascii="Trebuchet MS" w:hAnsi="Trebuchet MS"/>
          <w:sz w:val="24"/>
          <w:szCs w:val="24"/>
        </w:rPr>
        <w:t xml:space="preserve">, cum </w:t>
      </w:r>
      <w:proofErr w:type="spellStart"/>
      <w:r w:rsidRPr="00901081">
        <w:rPr>
          <w:rFonts w:ascii="Trebuchet MS" w:hAnsi="Trebuchet MS"/>
          <w:sz w:val="24"/>
          <w:szCs w:val="24"/>
        </w:rPr>
        <w:t>ar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turnătorii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articole</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aliaje</w:t>
      </w:r>
      <w:proofErr w:type="spellEnd"/>
      <w:r w:rsidRPr="00901081">
        <w:rPr>
          <w:rFonts w:ascii="Trebuchet MS" w:hAnsi="Trebuchet MS"/>
          <w:sz w:val="24"/>
          <w:szCs w:val="24"/>
        </w:rPr>
        <w:t xml:space="preserve"> cu plumb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producția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utilizarea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pigmenților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vopsea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materiale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plastice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lângă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aceste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aplicații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expunerea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poate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avea</w:t>
      </w:r>
      <w:proofErr w:type="spellEnd"/>
      <w:r w:rsidRPr="00901081">
        <w:rPr>
          <w:rFonts w:ascii="Trebuchet MS" w:hAnsi="Trebuchet MS"/>
          <w:sz w:val="24"/>
          <w:szCs w:val="24"/>
        </w:rPr>
        <w:t xml:space="preserve"> loc </w:t>
      </w:r>
      <w:proofErr w:type="spellStart"/>
      <w:r w:rsidRPr="00901081">
        <w:rPr>
          <w:rFonts w:ascii="Trebuchet MS" w:hAnsi="Trebuchet MS"/>
          <w:sz w:val="24"/>
          <w:szCs w:val="24"/>
        </w:rPr>
        <w:t>mai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aval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lanțul</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produse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atunci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când</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articolele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materialele</w:t>
      </w:r>
      <w:proofErr w:type="spellEnd"/>
      <w:r w:rsidRPr="00901081">
        <w:rPr>
          <w:rFonts w:ascii="Trebuchet MS" w:hAnsi="Trebuchet MS"/>
          <w:sz w:val="24"/>
          <w:szCs w:val="24"/>
        </w:rPr>
        <w:t xml:space="preserve"> </w:t>
      </w:r>
      <w:proofErr w:type="spellStart"/>
      <w:proofErr w:type="gramStart"/>
      <w:r w:rsidRPr="00901081">
        <w:rPr>
          <w:rFonts w:ascii="Trebuchet MS" w:hAnsi="Trebuchet MS"/>
          <w:sz w:val="24"/>
          <w:szCs w:val="24"/>
        </w:rPr>
        <w:t>devin</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deșeuri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sau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timpul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recuperării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deșeurilor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materialelor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reciclate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Exemple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activități</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aval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sunt</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aplicațiile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vopsele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filmare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lucru</w:t>
      </w:r>
      <w:proofErr w:type="spellEnd"/>
      <w:r w:rsidRPr="00901081">
        <w:rPr>
          <w:rFonts w:ascii="Trebuchet MS" w:hAnsi="Trebuchet MS"/>
          <w:sz w:val="24"/>
          <w:szCs w:val="24"/>
        </w:rPr>
        <w:t xml:space="preserve"> cu plumb metal; </w:t>
      </w:r>
      <w:proofErr w:type="spellStart"/>
      <w:r w:rsidRPr="00901081">
        <w:rPr>
          <w:rFonts w:ascii="Trebuchet MS" w:hAnsi="Trebuchet MS"/>
          <w:sz w:val="24"/>
          <w:szCs w:val="24"/>
        </w:rPr>
        <w:t>demolari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reparatii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gestionarea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deşeurilor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managementul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altor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deșeuri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și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refacerea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solului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lucrul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laboratoare</w:t>
      </w:r>
      <w:proofErr w:type="spellEnd"/>
      <w:r w:rsidRPr="00901081">
        <w:rPr>
          <w:rFonts w:ascii="Trebuchet MS" w:hAnsi="Trebuchet MS"/>
          <w:sz w:val="24"/>
          <w:szCs w:val="24"/>
        </w:rPr>
        <w:t>.</w:t>
      </w:r>
    </w:p>
    <w:p w:rsidR="00242D2F" w:rsidRPr="00901081" w:rsidRDefault="00242D2F" w:rsidP="00901081">
      <w:pPr>
        <w:jc w:val="both"/>
        <w:rPr>
          <w:rFonts w:ascii="Trebuchet MS" w:eastAsia="Times New Roman" w:hAnsi="Trebuchet MS"/>
          <w:bCs/>
          <w:sz w:val="24"/>
          <w:szCs w:val="24"/>
          <w:lang w:val="ro-RO" w:eastAsia="ro-RO"/>
        </w:rPr>
      </w:pPr>
      <w:r w:rsidRPr="00901081">
        <w:rPr>
          <w:rFonts w:ascii="Trebuchet MS" w:eastAsia="Times New Roman" w:hAnsi="Trebuchet MS"/>
          <w:bCs/>
          <w:sz w:val="24"/>
          <w:szCs w:val="24"/>
          <w:lang w:val="ro-RO" w:eastAsia="ro-RO"/>
        </w:rPr>
        <w:t>Mărimea companiei este variabilă și este adesea specifică sectorului. De exemplu, în UE există 6 companii primare de producție de plumb care sunt toate companii mari (mai mult de 249 de angajați) și 30 de producători de baterii cu plumb, dintre care 80% sunt companii mari și 20% companii mijlocii. Pentru majoritatea celorlalte sectoare care folosesc plumb, companiile sunt în principal IMM-uri.</w:t>
      </w:r>
    </w:p>
    <w:p w:rsidR="00242D2F" w:rsidRPr="00901081" w:rsidRDefault="00242D2F" w:rsidP="00901081">
      <w:pPr>
        <w:jc w:val="both"/>
        <w:rPr>
          <w:rFonts w:ascii="Trebuchet MS" w:eastAsia="Times New Roman" w:hAnsi="Trebuchet MS"/>
          <w:bCs/>
          <w:sz w:val="24"/>
          <w:szCs w:val="24"/>
          <w:lang w:val="ro-RO" w:eastAsia="ro-RO"/>
        </w:rPr>
      </w:pPr>
      <w:r w:rsidRPr="00901081">
        <w:rPr>
          <w:rFonts w:ascii="Trebuchet MS" w:eastAsia="Times New Roman" w:hAnsi="Trebuchet MS"/>
          <w:bCs/>
          <w:sz w:val="24"/>
          <w:szCs w:val="24"/>
          <w:lang w:val="ro-RO" w:eastAsia="ro-RO"/>
        </w:rPr>
        <w:t>Principalele căi de expunere profesională sunt prin inhalare și prin ingerare, prin comportamentul de la mână la gură din cauza lipsei igienei personale (de exemplu, un lucrător cu mâinile contaminate, care nu le spală bine înainte de a mânca sau de a fuma). Absorbția dermică a plumbului este considerată minimă. Expunerea prin ingestie este considerată semnificativă și această cale de expunere este un factor important pentru dezvoltarea stării de sănătate. VLE este specifică expunerii prin inhalare și sunt necesare măsuri suplimentare pentru a minimiza expunerea prin ingestie. Pentru aceasta, concentrațiile de plumb din sânge sunt recunoscute ca fiind cea mai bună măsurătoare de expunere pentru a evalua expunerile profesionale la plumb, deoarece nivelurile interne de plumb sunt decisive pentru determinarea riscului general pentru sănătate.</w:t>
      </w:r>
    </w:p>
    <w:p w:rsidR="00242D2F" w:rsidRPr="00901081" w:rsidRDefault="00242D2F" w:rsidP="00901081">
      <w:pPr>
        <w:jc w:val="both"/>
        <w:rPr>
          <w:rFonts w:ascii="Trebuchet MS" w:eastAsia="Times New Roman" w:hAnsi="Trebuchet MS"/>
          <w:bCs/>
          <w:sz w:val="24"/>
          <w:szCs w:val="24"/>
          <w:lang w:val="ro-RO" w:eastAsia="ro-RO"/>
        </w:rPr>
      </w:pPr>
      <w:r w:rsidRPr="00901081">
        <w:rPr>
          <w:rFonts w:ascii="Trebuchet MS" w:eastAsia="Times New Roman" w:hAnsi="Trebuchet MS"/>
          <w:bCs/>
          <w:sz w:val="24"/>
          <w:szCs w:val="24"/>
          <w:lang w:val="ro-RO" w:eastAsia="ro-RO"/>
        </w:rPr>
        <w:lastRenderedPageBreak/>
        <w:t>Datele indică faptul că forța de muncă expusă este predominant masculină, în special în sectoare cheie, cum ar fi producția primară de plumb, producția secundară de plumb, producția de baterii cu plumb și producția de foi de plumb (aproximativ 95-97%). Forța de muncă feminină este de aproximativ 3%, cu excepția producției de sticlă cu cristal de plumb (12%). Cu toate acestea, dimensiunea totală a forței de muncă corespunzătoare este relativ mică în comparație cu sectoarele cheie în care este utilizat plumbul. Chiar dacă ponderea forței de muncă feminine este relativ mică, dimensiunea de gen este foarte importantă. Impactul negativ al plumbului este dublu, deoarece poate afecta femeile și, în plus, afectează fătul în curs de dezvoltare la femeile însărcinate. Deşi există cerințele existente în Directiva privind lucrătoarele însărcinate, acestea se aplică numai din momentul în care lucrătoarea își informează angajatorul că este însărcinată, de obicei la trei luni de sarcină. În cadrul industriei plumbului, conștientizarea lucrătorilor cu privire la toxicitatea pentru reproducere și necesitatea de a dispune de măsuri specifice pentru a minimiza orice riscuri posibile trebuie să fie o parte integrantă a abordării angajatorilor în ceea ce privește gestionarea  riscurilor.</w:t>
      </w:r>
    </w:p>
    <w:p w:rsidR="00242D2F" w:rsidRPr="00901081" w:rsidRDefault="00242D2F" w:rsidP="00901081">
      <w:pPr>
        <w:jc w:val="both"/>
        <w:rPr>
          <w:rFonts w:ascii="Trebuchet MS" w:eastAsia="Times New Roman" w:hAnsi="Trebuchet MS"/>
          <w:bCs/>
          <w:sz w:val="24"/>
          <w:szCs w:val="24"/>
          <w:lang w:val="ro-RO" w:eastAsia="ro-RO"/>
        </w:rPr>
      </w:pPr>
      <w:r w:rsidRPr="00901081">
        <w:rPr>
          <w:rFonts w:ascii="Trebuchet MS" w:eastAsia="Times New Roman" w:hAnsi="Trebuchet MS"/>
          <w:bCs/>
          <w:sz w:val="24"/>
          <w:szCs w:val="24"/>
          <w:lang w:val="ro-RO" w:eastAsia="ro-RO"/>
        </w:rPr>
        <w:t>Conformitatea cu VLB este instrumentul principal pentru protejarea lucrătorilor de toxicitatea plumbului. Expunerea pe cale orală și prin inhalare sunt ambele căi relevante pentru absorbția plumbului în corpul uman. VLE este necesar pentru a reduce expunerea profesională.</w:t>
      </w:r>
    </w:p>
    <w:p w:rsidR="00242D2F" w:rsidRPr="00901081" w:rsidRDefault="00242D2F" w:rsidP="00901081">
      <w:pPr>
        <w:jc w:val="both"/>
        <w:rPr>
          <w:rFonts w:ascii="Trebuchet MS" w:eastAsia="Times New Roman" w:hAnsi="Trebuchet MS"/>
          <w:bCs/>
          <w:sz w:val="24"/>
          <w:szCs w:val="24"/>
          <w:lang w:val="ro-RO" w:eastAsia="ro-RO"/>
        </w:rPr>
      </w:pPr>
      <w:r w:rsidRPr="00901081">
        <w:rPr>
          <w:rFonts w:ascii="Trebuchet MS" w:eastAsia="Times New Roman" w:hAnsi="Trebuchet MS"/>
          <w:bCs/>
          <w:sz w:val="24"/>
          <w:szCs w:val="24"/>
          <w:lang w:val="ro-RO" w:eastAsia="ro-RO"/>
        </w:rPr>
        <w:t>Relația dintre nivelurile de plumb în aer (PbA) și sânge (PbB) depinde de diverși factori dintr-un cadru profesional și nu este evidentă o corelație clară între aceste două valori. Expunerea are loc pe mai multe căi și chiar dacă concentrația de plumb în aer este destul de scăzută, nivelurile interne pot fi totuși relativ ridicate, reflectate de rezultatele monitorizării biologice.</w:t>
      </w:r>
    </w:p>
    <w:p w:rsidR="00242D2F" w:rsidRPr="00901081" w:rsidRDefault="00242D2F" w:rsidP="00901081">
      <w:pPr>
        <w:jc w:val="both"/>
        <w:rPr>
          <w:rFonts w:ascii="Trebuchet MS" w:eastAsia="Times New Roman" w:hAnsi="Trebuchet MS"/>
          <w:bCs/>
          <w:sz w:val="24"/>
          <w:szCs w:val="24"/>
          <w:lang w:val="ro-RO" w:eastAsia="ro-RO"/>
        </w:rPr>
      </w:pPr>
    </w:p>
    <w:p w:rsidR="00242D2F" w:rsidRPr="00901081" w:rsidRDefault="00242D2F" w:rsidP="00901081">
      <w:pPr>
        <w:pStyle w:val="Heading4"/>
        <w:shd w:val="clear" w:color="auto" w:fill="CCECFF"/>
        <w:spacing w:before="0" w:after="0"/>
        <w:ind w:hanging="21"/>
        <w:rPr>
          <w:rFonts w:ascii="Trebuchet MS" w:hAnsi="Trebuchet MS" w:cs="Arial"/>
          <w:sz w:val="24"/>
          <w:szCs w:val="24"/>
          <w:lang w:val="ro-RO"/>
        </w:rPr>
      </w:pPr>
      <w:r w:rsidRPr="00901081">
        <w:rPr>
          <w:rFonts w:ascii="Trebuchet MS" w:hAnsi="Trebuchet MS" w:cs="Arial"/>
          <w:sz w:val="24"/>
          <w:szCs w:val="24"/>
          <w:lang w:val="ro-RO"/>
        </w:rPr>
        <w:t>SUPRAVEGHEREA MEDICALĂ</w:t>
      </w:r>
    </w:p>
    <w:p w:rsidR="00242D2F" w:rsidRPr="00901081" w:rsidRDefault="00242D2F" w:rsidP="00901081">
      <w:pPr>
        <w:jc w:val="both"/>
        <w:rPr>
          <w:rFonts w:ascii="Trebuchet MS" w:hAnsi="Trebuchet MS"/>
          <w:sz w:val="24"/>
          <w:szCs w:val="24"/>
        </w:rPr>
      </w:pPr>
    </w:p>
    <w:p w:rsidR="00242D2F" w:rsidRPr="00901081" w:rsidRDefault="00242D2F" w:rsidP="00901081">
      <w:pPr>
        <w:jc w:val="both"/>
        <w:rPr>
          <w:rFonts w:ascii="Trebuchet MS" w:hAnsi="Trebuchet MS"/>
          <w:sz w:val="24"/>
          <w:szCs w:val="24"/>
        </w:rPr>
      </w:pPr>
      <w:proofErr w:type="spellStart"/>
      <w:r w:rsidRPr="00901081">
        <w:rPr>
          <w:rFonts w:ascii="Trebuchet MS" w:hAnsi="Trebuchet MS"/>
          <w:sz w:val="24"/>
          <w:szCs w:val="24"/>
        </w:rPr>
        <w:t>Supravegherea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medicală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cazul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expunerilor</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profesionale</w:t>
      </w:r>
      <w:proofErr w:type="spellEnd"/>
      <w:r w:rsidRPr="00901081">
        <w:rPr>
          <w:rFonts w:ascii="Trebuchet MS" w:hAnsi="Trebuchet MS"/>
          <w:sz w:val="24"/>
          <w:szCs w:val="24"/>
        </w:rPr>
        <w:t xml:space="preserve"> la plumb se </w:t>
      </w:r>
      <w:proofErr w:type="spellStart"/>
      <w:r w:rsidRPr="00901081">
        <w:rPr>
          <w:rFonts w:ascii="Trebuchet MS" w:hAnsi="Trebuchet MS"/>
          <w:sz w:val="24"/>
          <w:szCs w:val="24"/>
        </w:rPr>
        <w:t>efectuează</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conformitate</w:t>
      </w:r>
      <w:proofErr w:type="spellEnd"/>
      <w:r w:rsidRPr="00901081">
        <w:rPr>
          <w:rFonts w:ascii="Trebuchet MS" w:hAnsi="Trebuchet MS"/>
          <w:sz w:val="24"/>
          <w:szCs w:val="24"/>
        </w:rPr>
        <w:t xml:space="preserve"> cu </w:t>
      </w:r>
      <w:proofErr w:type="spellStart"/>
      <w:r w:rsidRPr="00901081">
        <w:rPr>
          <w:rFonts w:ascii="Trebuchet MS" w:hAnsi="Trebuchet MS"/>
          <w:b/>
          <w:sz w:val="24"/>
          <w:szCs w:val="24"/>
        </w:rPr>
        <w:t>Anexa</w:t>
      </w:r>
      <w:proofErr w:type="spellEnd"/>
      <w:r w:rsidRPr="00901081">
        <w:rPr>
          <w:rFonts w:ascii="Trebuchet MS" w:hAnsi="Trebuchet MS"/>
          <w:b/>
          <w:sz w:val="24"/>
          <w:szCs w:val="24"/>
        </w:rPr>
        <w:t xml:space="preserve"> 1 – </w:t>
      </w:r>
      <w:proofErr w:type="spellStart"/>
      <w:r w:rsidRPr="00901081">
        <w:rPr>
          <w:rFonts w:ascii="Trebuchet MS" w:hAnsi="Trebuchet MS"/>
          <w:b/>
          <w:sz w:val="24"/>
          <w:szCs w:val="24"/>
        </w:rPr>
        <w:t>Fişa</w:t>
      </w:r>
      <w:proofErr w:type="spellEnd"/>
      <w:r w:rsidRPr="00901081">
        <w:rPr>
          <w:rFonts w:ascii="Trebuchet MS" w:hAnsi="Trebuchet MS"/>
          <w:b/>
          <w:sz w:val="24"/>
          <w:szCs w:val="24"/>
        </w:rPr>
        <w:t xml:space="preserve"> 77 din HG 355/2007 </w:t>
      </w:r>
      <w:proofErr w:type="spellStart"/>
      <w:r w:rsidRPr="00901081">
        <w:rPr>
          <w:rFonts w:ascii="Trebuchet MS" w:hAnsi="Trebuchet MS"/>
          <w:b/>
          <w:sz w:val="24"/>
          <w:szCs w:val="24"/>
        </w:rPr>
        <w:t>cu</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modificarile</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şi</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completarile</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ulterioare</w:t>
      </w:r>
      <w:proofErr w:type="spellEnd"/>
      <w:r w:rsidRPr="00901081">
        <w:rPr>
          <w:rFonts w:ascii="Trebuchet MS" w:hAnsi="Trebuchet MS"/>
          <w:b/>
          <w:sz w:val="24"/>
          <w:szCs w:val="24"/>
        </w:rPr>
        <w:t xml:space="preserve"> – Plumb </w:t>
      </w:r>
      <w:proofErr w:type="spellStart"/>
      <w:r w:rsidRPr="00901081">
        <w:rPr>
          <w:rFonts w:ascii="Trebuchet MS" w:hAnsi="Trebuchet MS"/>
          <w:b/>
          <w:sz w:val="24"/>
          <w:szCs w:val="24"/>
        </w:rPr>
        <w:t>metalic</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oxizi</w:t>
      </w:r>
      <w:proofErr w:type="spellEnd"/>
      <w:r w:rsidRPr="00901081">
        <w:rPr>
          <w:rFonts w:ascii="Trebuchet MS" w:hAnsi="Trebuchet MS"/>
          <w:b/>
          <w:sz w:val="24"/>
          <w:szCs w:val="24"/>
        </w:rPr>
        <w:t xml:space="preserve"> de plumb </w:t>
      </w:r>
      <w:proofErr w:type="spellStart"/>
      <w:r w:rsidRPr="00901081">
        <w:rPr>
          <w:rFonts w:ascii="Trebuchet MS" w:hAnsi="Trebuchet MS"/>
          <w:b/>
          <w:sz w:val="24"/>
          <w:szCs w:val="24"/>
        </w:rPr>
        <w:t>şi</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compusi</w:t>
      </w:r>
      <w:proofErr w:type="spellEnd"/>
      <w:r w:rsidRPr="00901081">
        <w:rPr>
          <w:rFonts w:ascii="Trebuchet MS" w:hAnsi="Trebuchet MS"/>
          <w:b/>
          <w:sz w:val="24"/>
          <w:szCs w:val="24"/>
        </w:rPr>
        <w:t xml:space="preserve"> </w:t>
      </w:r>
      <w:proofErr w:type="spellStart"/>
      <w:r w:rsidRPr="00901081">
        <w:rPr>
          <w:rFonts w:ascii="Trebuchet MS" w:hAnsi="Trebuchet MS"/>
          <w:b/>
          <w:sz w:val="24"/>
          <w:szCs w:val="24"/>
        </w:rPr>
        <w:t>anorganici</w:t>
      </w:r>
      <w:proofErr w:type="spellEnd"/>
      <w:r w:rsidRPr="00901081">
        <w:rPr>
          <w:rFonts w:ascii="Trebuchet MS" w:hAnsi="Trebuchet MS"/>
          <w:b/>
          <w:sz w:val="24"/>
          <w:szCs w:val="24"/>
        </w:rPr>
        <w:t xml:space="preserve"> </w:t>
      </w:r>
      <w:proofErr w:type="spellStart"/>
      <w:r w:rsidRPr="00901081">
        <w:rPr>
          <w:rFonts w:ascii="Trebuchet MS" w:hAnsi="Trebuchet MS"/>
          <w:sz w:val="24"/>
          <w:szCs w:val="24"/>
        </w:rPr>
        <w:t>în</w:t>
      </w:r>
      <w:proofErr w:type="spellEnd"/>
      <w:r w:rsidRPr="00901081">
        <w:rPr>
          <w:rFonts w:ascii="Trebuchet MS" w:hAnsi="Trebuchet MS"/>
          <w:sz w:val="24"/>
          <w:szCs w:val="24"/>
        </w:rPr>
        <w:t xml:space="preserve"> care </w:t>
      </w:r>
      <w:proofErr w:type="spellStart"/>
      <w:r w:rsidRPr="00901081">
        <w:rPr>
          <w:rFonts w:ascii="Trebuchet MS" w:hAnsi="Trebuchet MS"/>
          <w:sz w:val="24"/>
          <w:szCs w:val="24"/>
        </w:rPr>
        <w:t>sunt</w:t>
      </w:r>
      <w:proofErr w:type="spellEnd"/>
      <w:r w:rsidRPr="00901081">
        <w:rPr>
          <w:rFonts w:ascii="Trebuchet MS" w:hAnsi="Trebuchet MS"/>
          <w:sz w:val="24"/>
          <w:szCs w:val="24"/>
        </w:rPr>
        <w:t xml:space="preserve"> date </w:t>
      </w:r>
      <w:proofErr w:type="spellStart"/>
      <w:r w:rsidRPr="00901081">
        <w:rPr>
          <w:rFonts w:ascii="Trebuchet MS" w:hAnsi="Trebuchet MS"/>
          <w:sz w:val="24"/>
          <w:szCs w:val="24"/>
        </w:rPr>
        <w:t>indicaţiile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generale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pentru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toate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categoriile</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astfel</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compuşi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chimici</w:t>
      </w:r>
      <w:proofErr w:type="spellEnd"/>
      <w:r w:rsidRPr="00901081">
        <w:rPr>
          <w:rFonts w:ascii="Trebuchet MS" w:hAnsi="Trebuchet MS"/>
          <w:sz w:val="24"/>
          <w:szCs w:val="24"/>
        </w:rPr>
        <w:t>.</w:t>
      </w:r>
    </w:p>
    <w:p w:rsidR="00242D2F" w:rsidRPr="00901081" w:rsidRDefault="00242D2F" w:rsidP="00901081">
      <w:pPr>
        <w:spacing w:after="0"/>
        <w:jc w:val="both"/>
        <w:rPr>
          <w:rFonts w:ascii="Trebuchet MS" w:hAnsi="Trebuchet MS"/>
          <w:sz w:val="24"/>
          <w:szCs w:val="24"/>
        </w:rPr>
      </w:pPr>
      <w:proofErr w:type="spellStart"/>
      <w:proofErr w:type="gramStart"/>
      <w:r w:rsidRPr="00901081">
        <w:rPr>
          <w:rFonts w:ascii="Trebuchet MS" w:hAnsi="Trebuchet MS"/>
          <w:sz w:val="24"/>
          <w:szCs w:val="24"/>
        </w:rPr>
        <w:t>Fisa</w:t>
      </w:r>
      <w:proofErr w:type="spellEnd"/>
      <w:r w:rsidRPr="00901081">
        <w:rPr>
          <w:rFonts w:ascii="Trebuchet MS" w:hAnsi="Trebuchet MS"/>
          <w:sz w:val="24"/>
          <w:szCs w:val="24"/>
        </w:rPr>
        <w:t xml:space="preserve"> 77.</w:t>
      </w:r>
      <w:proofErr w:type="gramEnd"/>
      <w:r w:rsidRPr="00901081">
        <w:rPr>
          <w:rFonts w:ascii="Trebuchet MS" w:hAnsi="Trebuchet MS"/>
          <w:sz w:val="24"/>
          <w:szCs w:val="24"/>
        </w:rPr>
        <w:t xml:space="preserve"> Plumb </w:t>
      </w:r>
      <w:proofErr w:type="spellStart"/>
      <w:r w:rsidRPr="00901081">
        <w:rPr>
          <w:rFonts w:ascii="Trebuchet MS" w:hAnsi="Trebuchet MS"/>
          <w:sz w:val="24"/>
          <w:szCs w:val="24"/>
        </w:rPr>
        <w:t>metalic</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oxizi</w:t>
      </w:r>
      <w:proofErr w:type="spellEnd"/>
      <w:r w:rsidRPr="00901081">
        <w:rPr>
          <w:rFonts w:ascii="Trebuchet MS" w:hAnsi="Trebuchet MS"/>
          <w:sz w:val="24"/>
          <w:szCs w:val="24"/>
        </w:rPr>
        <w:t xml:space="preserve"> de plumb </w:t>
      </w:r>
      <w:proofErr w:type="spellStart"/>
      <w:r w:rsidRPr="00901081">
        <w:rPr>
          <w:rFonts w:ascii="Trebuchet MS" w:hAnsi="Trebuchet MS"/>
          <w:sz w:val="24"/>
          <w:szCs w:val="24"/>
        </w:rPr>
        <w:t>si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compusi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anorganici</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lastRenderedPageBreak/>
        <w:t xml:space="preserve">    </w:t>
      </w:r>
      <w:proofErr w:type="spellStart"/>
      <w:r w:rsidRPr="00901081">
        <w:rPr>
          <w:rFonts w:ascii="Trebuchet MS" w:hAnsi="Trebuchet MS"/>
          <w:sz w:val="24"/>
          <w:szCs w:val="24"/>
        </w:rPr>
        <w:t>Examen</w:t>
      </w:r>
      <w:proofErr w:type="spellEnd"/>
      <w:r w:rsidRPr="00901081">
        <w:rPr>
          <w:rFonts w:ascii="Trebuchet MS" w:hAnsi="Trebuchet MS"/>
          <w:sz w:val="24"/>
          <w:szCs w:val="24"/>
        </w:rPr>
        <w:t xml:space="preserve"> medical la </w:t>
      </w:r>
      <w:proofErr w:type="spellStart"/>
      <w:r w:rsidRPr="00901081">
        <w:rPr>
          <w:rFonts w:ascii="Trebuchet MS" w:hAnsi="Trebuchet MS"/>
          <w:sz w:val="24"/>
          <w:szCs w:val="24"/>
        </w:rPr>
        <w:t>angajare</w:t>
      </w:r>
      <w:proofErr w:type="spellEnd"/>
      <w:r w:rsidRPr="00901081">
        <w:rPr>
          <w:rFonts w:ascii="Trebuchet MS" w:hAnsi="Trebuchet MS"/>
          <w:sz w:val="24"/>
          <w:szCs w:val="24"/>
        </w:rPr>
        <w:t>:</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a) </w:t>
      </w:r>
      <w:proofErr w:type="gramStart"/>
      <w:r w:rsidRPr="00901081">
        <w:rPr>
          <w:rFonts w:ascii="Trebuchet MS" w:hAnsi="Trebuchet MS"/>
          <w:sz w:val="24"/>
          <w:szCs w:val="24"/>
        </w:rPr>
        <w:t>conform</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datelor</w:t>
      </w:r>
      <w:proofErr w:type="spellEnd"/>
      <w:r w:rsidRPr="00901081">
        <w:rPr>
          <w:rFonts w:ascii="Trebuchet MS" w:hAnsi="Trebuchet MS"/>
          <w:sz w:val="24"/>
          <w:szCs w:val="24"/>
        </w:rPr>
        <w:t xml:space="preserve"> din </w:t>
      </w:r>
      <w:proofErr w:type="spellStart"/>
      <w:r w:rsidRPr="00901081">
        <w:rPr>
          <w:rFonts w:ascii="Trebuchet MS" w:hAnsi="Trebuchet MS"/>
          <w:sz w:val="24"/>
          <w:szCs w:val="24"/>
        </w:rPr>
        <w:t>Dosarul</w:t>
      </w:r>
      <w:proofErr w:type="spellEnd"/>
      <w:r w:rsidRPr="00901081">
        <w:rPr>
          <w:rFonts w:ascii="Trebuchet MS" w:hAnsi="Trebuchet MS"/>
          <w:sz w:val="24"/>
          <w:szCs w:val="24"/>
        </w:rPr>
        <w:t xml:space="preserve"> medical</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b) - </w:t>
      </w:r>
      <w:proofErr w:type="spellStart"/>
      <w:r w:rsidRPr="00901081">
        <w:rPr>
          <w:rFonts w:ascii="Trebuchet MS" w:hAnsi="Trebuchet MS"/>
          <w:sz w:val="24"/>
          <w:szCs w:val="24"/>
        </w:rPr>
        <w:t>hemograma</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creatinina</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sanguina</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uroporfirine</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urinare</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ECG</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w:t>
      </w:r>
      <w:proofErr w:type="spellStart"/>
      <w:r w:rsidRPr="00901081">
        <w:rPr>
          <w:rFonts w:ascii="Trebuchet MS" w:hAnsi="Trebuchet MS"/>
          <w:sz w:val="24"/>
          <w:szCs w:val="24"/>
        </w:rPr>
        <w:t>Examenul</w:t>
      </w:r>
      <w:proofErr w:type="spellEnd"/>
      <w:r w:rsidRPr="00901081">
        <w:rPr>
          <w:rFonts w:ascii="Trebuchet MS" w:hAnsi="Trebuchet MS"/>
          <w:sz w:val="24"/>
          <w:szCs w:val="24"/>
        </w:rPr>
        <w:t xml:space="preserve"> medical periodic:</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examen</w:t>
      </w:r>
      <w:proofErr w:type="spellEnd"/>
      <w:proofErr w:type="gramEnd"/>
      <w:r w:rsidRPr="00901081">
        <w:rPr>
          <w:rFonts w:ascii="Trebuchet MS" w:hAnsi="Trebuchet MS"/>
          <w:sz w:val="24"/>
          <w:szCs w:val="24"/>
        </w:rPr>
        <w:t xml:space="preserve"> clinic general - </w:t>
      </w:r>
      <w:proofErr w:type="spellStart"/>
      <w:r w:rsidRPr="00901081">
        <w:rPr>
          <w:rFonts w:ascii="Trebuchet MS" w:hAnsi="Trebuchet MS"/>
          <w:sz w:val="24"/>
          <w:szCs w:val="24"/>
        </w:rPr>
        <w:t>semestrial</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gramStart"/>
      <w:r w:rsidRPr="00901081">
        <w:rPr>
          <w:rFonts w:ascii="Trebuchet MS" w:hAnsi="Trebuchet MS"/>
          <w:sz w:val="24"/>
          <w:szCs w:val="24"/>
        </w:rPr>
        <w:t>acid</w:t>
      </w:r>
      <w:proofErr w:type="gramEnd"/>
      <w:r w:rsidRPr="00901081">
        <w:rPr>
          <w:rFonts w:ascii="Trebuchet MS" w:hAnsi="Trebuchet MS"/>
          <w:sz w:val="24"/>
          <w:szCs w:val="24"/>
        </w:rPr>
        <w:t xml:space="preserve"> </w:t>
      </w:r>
      <w:proofErr w:type="spellStart"/>
      <w:r w:rsidRPr="00901081">
        <w:rPr>
          <w:rFonts w:ascii="Trebuchet MS" w:hAnsi="Trebuchet MS"/>
          <w:sz w:val="24"/>
          <w:szCs w:val="24"/>
        </w:rPr>
        <w:t>deltaaminolevulinic</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sau</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protoporfirina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libera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eritrocitara</w:t>
      </w:r>
      <w:proofErr w:type="spellEnd"/>
      <w:r w:rsidRPr="00901081">
        <w:rPr>
          <w:rFonts w:ascii="Trebuchet MS" w:hAnsi="Trebuchet MS"/>
          <w:sz w:val="24"/>
          <w:szCs w:val="24"/>
        </w:rPr>
        <w:t xml:space="preserve"> - </w:t>
      </w:r>
      <w:proofErr w:type="spellStart"/>
      <w:r w:rsidRPr="00901081">
        <w:rPr>
          <w:rFonts w:ascii="Trebuchet MS" w:hAnsi="Trebuchet MS"/>
          <w:sz w:val="24"/>
          <w:szCs w:val="24"/>
        </w:rPr>
        <w:t>anual</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si</w:t>
      </w:r>
      <w:proofErr w:type="spellEnd"/>
      <w:r w:rsidRPr="00901081">
        <w:rPr>
          <w:rFonts w:ascii="Trebuchet MS" w:hAnsi="Trebuchet MS"/>
          <w:sz w:val="24"/>
          <w:szCs w:val="24"/>
        </w:rPr>
        <w:t xml:space="preserve"> la </w:t>
      </w:r>
      <w:proofErr w:type="spellStart"/>
      <w:r w:rsidRPr="00901081">
        <w:rPr>
          <w:rFonts w:ascii="Trebuchet MS" w:hAnsi="Trebuchet MS"/>
          <w:sz w:val="24"/>
          <w:szCs w:val="24"/>
        </w:rPr>
        <w:t>indicatia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medicului</w:t>
      </w:r>
      <w:proofErr w:type="spellEnd"/>
      <w:r w:rsidRPr="00901081">
        <w:rPr>
          <w:rFonts w:ascii="Trebuchet MS" w:hAnsi="Trebuchet MS"/>
          <w:sz w:val="24"/>
          <w:szCs w:val="24"/>
        </w:rPr>
        <w:t xml:space="preserve"> specialist de </w:t>
      </w:r>
      <w:proofErr w:type="spellStart"/>
      <w:r w:rsidRPr="00901081">
        <w:rPr>
          <w:rFonts w:ascii="Trebuchet MS" w:hAnsi="Trebuchet MS"/>
          <w:sz w:val="24"/>
          <w:szCs w:val="24"/>
        </w:rPr>
        <w:t>medicina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muncii</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plumbemie</w:t>
      </w:r>
      <w:proofErr w:type="spellEnd"/>
      <w:proofErr w:type="gramEnd"/>
      <w:r w:rsidRPr="00901081">
        <w:rPr>
          <w:rFonts w:ascii="Trebuchet MS" w:hAnsi="Trebuchet MS"/>
          <w:sz w:val="24"/>
          <w:szCs w:val="24"/>
        </w:rPr>
        <w:t xml:space="preserve"> - </w:t>
      </w:r>
      <w:proofErr w:type="spellStart"/>
      <w:r w:rsidRPr="00901081">
        <w:rPr>
          <w:rFonts w:ascii="Trebuchet MS" w:hAnsi="Trebuchet MS"/>
          <w:sz w:val="24"/>
          <w:szCs w:val="24"/>
        </w:rPr>
        <w:t>anual</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hemograma</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anual</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creatinina</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sanguina</w:t>
      </w:r>
      <w:proofErr w:type="spellEnd"/>
      <w:r w:rsidRPr="00901081">
        <w:rPr>
          <w:rFonts w:ascii="Trebuchet MS" w:hAnsi="Trebuchet MS"/>
          <w:sz w:val="24"/>
          <w:szCs w:val="24"/>
        </w:rPr>
        <w:t xml:space="preserve"> - </w:t>
      </w:r>
      <w:proofErr w:type="spellStart"/>
      <w:r w:rsidRPr="00901081">
        <w:rPr>
          <w:rFonts w:ascii="Trebuchet MS" w:hAnsi="Trebuchet MS"/>
          <w:sz w:val="24"/>
          <w:szCs w:val="24"/>
        </w:rPr>
        <w:t>anual</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EMG - la </w:t>
      </w:r>
      <w:proofErr w:type="spellStart"/>
      <w:r w:rsidRPr="00901081">
        <w:rPr>
          <w:rFonts w:ascii="Trebuchet MS" w:hAnsi="Trebuchet MS"/>
          <w:sz w:val="24"/>
          <w:szCs w:val="24"/>
        </w:rPr>
        <w:t>indicatia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medicului</w:t>
      </w:r>
      <w:proofErr w:type="spellEnd"/>
      <w:r w:rsidRPr="00901081">
        <w:rPr>
          <w:rFonts w:ascii="Trebuchet MS" w:hAnsi="Trebuchet MS"/>
          <w:sz w:val="24"/>
          <w:szCs w:val="24"/>
        </w:rPr>
        <w:t xml:space="preserve"> specialist de </w:t>
      </w:r>
      <w:proofErr w:type="spellStart"/>
      <w:r w:rsidRPr="00901081">
        <w:rPr>
          <w:rFonts w:ascii="Trebuchet MS" w:hAnsi="Trebuchet MS"/>
          <w:sz w:val="24"/>
          <w:szCs w:val="24"/>
        </w:rPr>
        <w:t>medicina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muncii</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w:t>
      </w:r>
      <w:proofErr w:type="spellStart"/>
      <w:r w:rsidRPr="00901081">
        <w:rPr>
          <w:rFonts w:ascii="Trebuchet MS" w:hAnsi="Trebuchet MS"/>
          <w:sz w:val="24"/>
          <w:szCs w:val="24"/>
        </w:rPr>
        <w:t>Contraindicatii</w:t>
      </w:r>
      <w:proofErr w:type="spellEnd"/>
      <w:r w:rsidRPr="00901081">
        <w:rPr>
          <w:rFonts w:ascii="Trebuchet MS" w:hAnsi="Trebuchet MS"/>
          <w:sz w:val="24"/>
          <w:szCs w:val="24"/>
        </w:rPr>
        <w:t>:</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boli</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cronice</w:t>
      </w:r>
      <w:proofErr w:type="spellEnd"/>
      <w:r w:rsidRPr="00901081">
        <w:rPr>
          <w:rFonts w:ascii="Trebuchet MS" w:hAnsi="Trebuchet MS"/>
          <w:sz w:val="24"/>
          <w:szCs w:val="24"/>
        </w:rPr>
        <w:t xml:space="preserve"> ale </w:t>
      </w:r>
      <w:proofErr w:type="spellStart"/>
      <w:r w:rsidRPr="00901081">
        <w:rPr>
          <w:rFonts w:ascii="Trebuchet MS" w:hAnsi="Trebuchet MS"/>
          <w:sz w:val="24"/>
          <w:szCs w:val="24"/>
        </w:rPr>
        <w:t>aparatului</w:t>
      </w:r>
      <w:proofErr w:type="spellEnd"/>
      <w:r w:rsidRPr="00901081">
        <w:rPr>
          <w:rFonts w:ascii="Trebuchet MS" w:hAnsi="Trebuchet MS"/>
          <w:sz w:val="24"/>
          <w:szCs w:val="24"/>
        </w:rPr>
        <w:t xml:space="preserve"> cardiovascular (HTA, </w:t>
      </w:r>
      <w:proofErr w:type="spellStart"/>
      <w:r w:rsidRPr="00901081">
        <w:rPr>
          <w:rFonts w:ascii="Trebuchet MS" w:hAnsi="Trebuchet MS"/>
          <w:sz w:val="24"/>
          <w:szCs w:val="24"/>
        </w:rPr>
        <w:t>boala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cardiaca</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ischemica</w:t>
      </w:r>
      <w:proofErr w:type="spellEnd"/>
      <w:r w:rsidRPr="00901081">
        <w:rPr>
          <w:rFonts w:ascii="Trebuchet MS" w:hAnsi="Trebuchet MS"/>
          <w:sz w:val="24"/>
          <w:szCs w:val="24"/>
        </w:rPr>
        <w:t>)</w:t>
      </w:r>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boli</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cronice</w:t>
      </w:r>
      <w:proofErr w:type="spellEnd"/>
      <w:r w:rsidRPr="00901081">
        <w:rPr>
          <w:rFonts w:ascii="Trebuchet MS" w:hAnsi="Trebuchet MS"/>
          <w:sz w:val="24"/>
          <w:szCs w:val="24"/>
        </w:rPr>
        <w:t xml:space="preserve"> ale </w:t>
      </w:r>
      <w:proofErr w:type="spellStart"/>
      <w:r w:rsidRPr="00901081">
        <w:rPr>
          <w:rFonts w:ascii="Trebuchet MS" w:hAnsi="Trebuchet MS"/>
          <w:sz w:val="24"/>
          <w:szCs w:val="24"/>
        </w:rPr>
        <w:t>sistemului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nervos</w:t>
      </w:r>
      <w:proofErr w:type="spellEnd"/>
      <w:r w:rsidRPr="00901081">
        <w:rPr>
          <w:rFonts w:ascii="Trebuchet MS" w:hAnsi="Trebuchet MS"/>
          <w:sz w:val="24"/>
          <w:szCs w:val="24"/>
        </w:rPr>
        <w:t xml:space="preserve"> central </w:t>
      </w:r>
      <w:proofErr w:type="spellStart"/>
      <w:r w:rsidRPr="00901081">
        <w:rPr>
          <w:rFonts w:ascii="Trebuchet MS" w:hAnsi="Trebuchet MS"/>
          <w:sz w:val="24"/>
          <w:szCs w:val="24"/>
        </w:rPr>
        <w:t>si</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periferic</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afectiuni</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psihice</w:t>
      </w:r>
      <w:proofErr w:type="spell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anemie</w:t>
      </w:r>
      <w:proofErr w:type="spellEnd"/>
      <w:proofErr w:type="gram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porfirii</w:t>
      </w:r>
      <w:proofErr w:type="spellEnd"/>
      <w:proofErr w:type="gramEnd"/>
    </w:p>
    <w:p w:rsidR="00242D2F" w:rsidRPr="00901081" w:rsidRDefault="00242D2F" w:rsidP="00901081">
      <w:pPr>
        <w:spacing w:after="0"/>
        <w:jc w:val="both"/>
        <w:rPr>
          <w:rFonts w:ascii="Trebuchet MS" w:hAnsi="Trebuchet MS"/>
          <w:sz w:val="24"/>
          <w:szCs w:val="24"/>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nefropatii</w:t>
      </w:r>
      <w:proofErr w:type="spellEnd"/>
      <w:proofErr w:type="gramEnd"/>
      <w:r w:rsidRPr="00901081">
        <w:rPr>
          <w:rFonts w:ascii="Trebuchet MS" w:hAnsi="Trebuchet MS"/>
          <w:sz w:val="24"/>
          <w:szCs w:val="24"/>
        </w:rPr>
        <w:t xml:space="preserve"> </w:t>
      </w:r>
      <w:proofErr w:type="spellStart"/>
      <w:r w:rsidRPr="00901081">
        <w:rPr>
          <w:rFonts w:ascii="Trebuchet MS" w:hAnsi="Trebuchet MS"/>
          <w:sz w:val="24"/>
          <w:szCs w:val="24"/>
        </w:rPr>
        <w:t>cronice</w:t>
      </w:r>
      <w:proofErr w:type="spellEnd"/>
    </w:p>
    <w:p w:rsidR="00242D2F" w:rsidRPr="00901081" w:rsidRDefault="00242D2F" w:rsidP="00901081">
      <w:pPr>
        <w:spacing w:after="0"/>
        <w:jc w:val="both"/>
        <w:rPr>
          <w:rFonts w:ascii="Trebuchet MS" w:hAnsi="Trebuchet MS"/>
          <w:sz w:val="24"/>
          <w:szCs w:val="24"/>
          <w:lang w:val="ro-RO"/>
        </w:rPr>
      </w:pPr>
      <w:r w:rsidRPr="00901081">
        <w:rPr>
          <w:rFonts w:ascii="Trebuchet MS" w:hAnsi="Trebuchet MS"/>
          <w:sz w:val="24"/>
          <w:szCs w:val="24"/>
        </w:rPr>
        <w:t xml:space="preserve">    - </w:t>
      </w:r>
      <w:proofErr w:type="spellStart"/>
      <w:proofErr w:type="gramStart"/>
      <w:r w:rsidRPr="00901081">
        <w:rPr>
          <w:rFonts w:ascii="Trebuchet MS" w:hAnsi="Trebuchet MS"/>
          <w:sz w:val="24"/>
          <w:szCs w:val="24"/>
        </w:rPr>
        <w:t>femei</w:t>
      </w:r>
      <w:proofErr w:type="spellEnd"/>
      <w:proofErr w:type="gramEnd"/>
      <w:r w:rsidRPr="00901081">
        <w:rPr>
          <w:rFonts w:ascii="Trebuchet MS" w:hAnsi="Trebuchet MS"/>
          <w:sz w:val="24"/>
          <w:szCs w:val="24"/>
        </w:rPr>
        <w:t xml:space="preserve"> in </w:t>
      </w:r>
      <w:proofErr w:type="spellStart"/>
      <w:r w:rsidRPr="00901081">
        <w:rPr>
          <w:rFonts w:ascii="Trebuchet MS" w:hAnsi="Trebuchet MS"/>
          <w:sz w:val="24"/>
          <w:szCs w:val="24"/>
        </w:rPr>
        <w:t>perioada</w:t>
      </w:r>
      <w:proofErr w:type="spellEnd"/>
      <w:r w:rsidRPr="00901081">
        <w:rPr>
          <w:rFonts w:ascii="Trebuchet MS" w:hAnsi="Trebuchet MS"/>
          <w:sz w:val="24"/>
          <w:szCs w:val="24"/>
        </w:rPr>
        <w:t xml:space="preserve"> de </w:t>
      </w:r>
      <w:proofErr w:type="spellStart"/>
      <w:r w:rsidRPr="00901081">
        <w:rPr>
          <w:rFonts w:ascii="Trebuchet MS" w:hAnsi="Trebuchet MS"/>
          <w:sz w:val="24"/>
          <w:szCs w:val="24"/>
        </w:rPr>
        <w:t>fertilitate</w:t>
      </w:r>
      <w:proofErr w:type="spellEnd"/>
      <w:r w:rsidRPr="00901081">
        <w:rPr>
          <w:rFonts w:ascii="Trebuchet MS" w:hAnsi="Trebuchet MS"/>
          <w:sz w:val="24"/>
          <w:szCs w:val="24"/>
        </w:rPr>
        <w:t xml:space="preserve">, </w:t>
      </w:r>
      <w:proofErr w:type="spellStart"/>
      <w:r w:rsidRPr="00901081">
        <w:rPr>
          <w:rFonts w:ascii="Trebuchet MS" w:hAnsi="Trebuchet MS"/>
          <w:sz w:val="24"/>
          <w:szCs w:val="24"/>
        </w:rPr>
        <w:t>minori</w:t>
      </w:r>
      <w:proofErr w:type="spellEnd"/>
      <w:r w:rsidRPr="00901081">
        <w:rPr>
          <w:rFonts w:ascii="Trebuchet MS" w:hAnsi="Trebuchet MS"/>
          <w:sz w:val="24"/>
          <w:szCs w:val="24"/>
        </w:rPr>
        <w:t xml:space="preserve"> (sub 18 </w:t>
      </w:r>
      <w:proofErr w:type="spellStart"/>
      <w:r w:rsidRPr="00901081">
        <w:rPr>
          <w:rFonts w:ascii="Trebuchet MS" w:hAnsi="Trebuchet MS"/>
          <w:sz w:val="24"/>
          <w:szCs w:val="24"/>
        </w:rPr>
        <w:t>ani</w:t>
      </w:r>
      <w:proofErr w:type="spellEnd"/>
      <w:r w:rsidRPr="00901081">
        <w:rPr>
          <w:rFonts w:ascii="Trebuchet MS" w:hAnsi="Trebuchet MS"/>
          <w:sz w:val="24"/>
          <w:szCs w:val="24"/>
        </w:rPr>
        <w:t>).</w:t>
      </w: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p w:rsidR="00901081" w:rsidRDefault="00901081" w:rsidP="00901081">
      <w:pPr>
        <w:jc w:val="both"/>
        <w:rPr>
          <w:rFonts w:ascii="Trebuchet MS" w:hAnsi="Trebuchet MS"/>
          <w:sz w:val="24"/>
          <w:szCs w:val="24"/>
          <w:lang w:val="ro-RO"/>
        </w:rPr>
      </w:pPr>
    </w:p>
    <w:sectPr w:rsidR="00901081" w:rsidSect="00C61C15">
      <w:pgSz w:w="12240" w:h="15840"/>
      <w:pgMar w:top="-2016" w:right="1872" w:bottom="187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BC" w:rsidRDefault="003845BC" w:rsidP="00EB3F2A">
      <w:pPr>
        <w:spacing w:after="0" w:line="240" w:lineRule="auto"/>
      </w:pPr>
      <w:r>
        <w:separator/>
      </w:r>
    </w:p>
  </w:endnote>
  <w:endnote w:type="continuationSeparator" w:id="1">
    <w:p w:rsidR="003845BC" w:rsidRDefault="003845BC" w:rsidP="00EB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303837" w:rsidP="0012446A">
    <w:pPr>
      <w:pStyle w:val="Footer"/>
      <w:framePr w:wrap="around" w:vAnchor="text" w:hAnchor="margin" w:xAlign="center" w:y="1"/>
      <w:rPr>
        <w:rStyle w:val="PageNumber"/>
      </w:rPr>
    </w:pPr>
    <w:r>
      <w:rPr>
        <w:rStyle w:val="PageNumber"/>
      </w:rPr>
      <w:fldChar w:fldCharType="begin"/>
    </w:r>
    <w:r w:rsidR="00242D2F">
      <w:rPr>
        <w:rStyle w:val="PageNumber"/>
      </w:rPr>
      <w:instrText xml:space="preserve">PAGE  </w:instrText>
    </w:r>
    <w:r>
      <w:rPr>
        <w:rStyle w:val="PageNumber"/>
      </w:rPr>
      <w:fldChar w:fldCharType="end"/>
    </w:r>
  </w:p>
  <w:p w:rsidR="00242D2F" w:rsidRDefault="00242D2F" w:rsidP="00BE01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Pr="00631479" w:rsidRDefault="00303837"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242D2F" w:rsidRPr="00631479">
      <w:rPr>
        <w:rStyle w:val="PageNumber"/>
        <w:sz w:val="16"/>
        <w:szCs w:val="18"/>
      </w:rPr>
      <w:instrText xml:space="preserve">PAGE  </w:instrText>
    </w:r>
    <w:r w:rsidRPr="00631479">
      <w:rPr>
        <w:rStyle w:val="PageNumber"/>
        <w:sz w:val="16"/>
        <w:szCs w:val="18"/>
      </w:rPr>
      <w:fldChar w:fldCharType="separate"/>
    </w:r>
    <w:r w:rsidR="00901081">
      <w:rPr>
        <w:rStyle w:val="PageNumber"/>
        <w:noProof/>
        <w:sz w:val="16"/>
        <w:szCs w:val="18"/>
      </w:rPr>
      <w:t>4</w:t>
    </w:r>
    <w:r w:rsidRPr="00631479">
      <w:rPr>
        <w:rStyle w:val="PageNumber"/>
        <w:sz w:val="16"/>
        <w:szCs w:val="18"/>
      </w:rPr>
      <w:fldChar w:fldCharType="end"/>
    </w:r>
  </w:p>
  <w:p w:rsidR="00242D2F" w:rsidRPr="00392BDD" w:rsidRDefault="00242D2F" w:rsidP="00BE01C3">
    <w:pPr>
      <w:pStyle w:val="Footer"/>
      <w:jc w:val="right"/>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BC" w:rsidRDefault="003845BC" w:rsidP="00EB3F2A">
      <w:pPr>
        <w:spacing w:after="0" w:line="240" w:lineRule="auto"/>
      </w:pPr>
      <w:r>
        <w:separator/>
      </w:r>
    </w:p>
  </w:footnote>
  <w:footnote w:type="continuationSeparator" w:id="1">
    <w:p w:rsidR="003845BC" w:rsidRDefault="003845BC" w:rsidP="00EB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901081" w:rsidP="006845C9">
    <w:pPr>
      <w:pStyle w:val="Header"/>
      <w:ind w:left="0"/>
    </w:pPr>
    <w:r>
      <w:rPr>
        <w:noProof/>
        <w:lang w:eastAsia="ko-KR"/>
      </w:rPr>
      <w:pict>
        <v:shapetype id="_x0000_t202" coordsize="21600,21600" o:spt="202" path="m,l,21600r21600,l21600,xe">
          <v:stroke joinstyle="miter"/>
          <v:path gradientshapeok="t" o:connecttype="rect"/>
        </v:shapetype>
        <v:shape id="_x0000_s2052" type="#_x0000_t202" style="position:absolute;left:0;text-align:left;margin-left:91.15pt;margin-top:21.8pt;width:359.85pt;height:75.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2">
            <w:txbxContent>
              <w:p w:rsidR="00242D2F" w:rsidRDefault="00242D2F" w:rsidP="00BE01C3">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901081" w:rsidRPr="00484F1F" w:rsidRDefault="00901081" w:rsidP="00BE01C3">
                <w:pPr>
                  <w:rPr>
                    <w:smallCaps/>
                    <w:sz w:val="32"/>
                    <w:lang w:val="ro-RO"/>
                  </w:rPr>
                </w:pPr>
                <w:r>
                  <w:rPr>
                    <w:smallCaps/>
                    <w:sz w:val="32"/>
                    <w:lang w:val="ro-RO"/>
                  </w:rPr>
                  <w:t>INSPECTORATUL TERITORIAL DE MUNCA ILFOV</w:t>
                </w:r>
              </w:p>
            </w:txbxContent>
          </v:textbox>
        </v:shape>
      </w:pict>
    </w:r>
    <w:r w:rsidR="00DC64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ntitled" style="width:77.25pt;height:74.25pt;visibility:visible">
          <v:imagedata r:id="rId1" o:title="Untitled"/>
        </v:shape>
      </w:pict>
    </w:r>
    <w:r w:rsidR="00303837">
      <w:rPr>
        <w:noProof/>
      </w:rPr>
      <w:pict>
        <v:shape id="_x0000_s2051" type="#_x0000_t75" style="position:absolute;left:0;text-align:left;margin-left:-16.65pt;margin-top:-78.35pt;width:369.35pt;height:992.15pt;z-index:-251653120;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7DD"/>
    <w:multiLevelType w:val="hybridMultilevel"/>
    <w:tmpl w:val="376A3C2E"/>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7743" w:hanging="360"/>
      </w:pPr>
      <w:rPr>
        <w:rFonts w:ascii="Courier New" w:hAnsi="Courier New" w:cs="Courier New" w:hint="default"/>
      </w:rPr>
    </w:lvl>
    <w:lvl w:ilvl="2" w:tplc="04090005" w:tentative="1">
      <w:start w:val="1"/>
      <w:numFmt w:val="bullet"/>
      <w:lvlText w:val=""/>
      <w:lvlJc w:val="left"/>
      <w:pPr>
        <w:ind w:left="8463" w:hanging="360"/>
      </w:pPr>
      <w:rPr>
        <w:rFonts w:ascii="Wingdings" w:hAnsi="Wingdings" w:hint="default"/>
      </w:rPr>
    </w:lvl>
    <w:lvl w:ilvl="3" w:tplc="04090001" w:tentative="1">
      <w:start w:val="1"/>
      <w:numFmt w:val="bullet"/>
      <w:lvlText w:val=""/>
      <w:lvlJc w:val="left"/>
      <w:pPr>
        <w:ind w:left="9183" w:hanging="360"/>
      </w:pPr>
      <w:rPr>
        <w:rFonts w:ascii="Symbol" w:hAnsi="Symbol" w:hint="default"/>
      </w:rPr>
    </w:lvl>
    <w:lvl w:ilvl="4" w:tplc="04090003" w:tentative="1">
      <w:start w:val="1"/>
      <w:numFmt w:val="bullet"/>
      <w:lvlText w:val="o"/>
      <w:lvlJc w:val="left"/>
      <w:pPr>
        <w:ind w:left="9903" w:hanging="360"/>
      </w:pPr>
      <w:rPr>
        <w:rFonts w:ascii="Courier New" w:hAnsi="Courier New" w:cs="Courier New" w:hint="default"/>
      </w:rPr>
    </w:lvl>
    <w:lvl w:ilvl="5" w:tplc="04090005" w:tentative="1">
      <w:start w:val="1"/>
      <w:numFmt w:val="bullet"/>
      <w:lvlText w:val=""/>
      <w:lvlJc w:val="left"/>
      <w:pPr>
        <w:ind w:left="10623" w:hanging="360"/>
      </w:pPr>
      <w:rPr>
        <w:rFonts w:ascii="Wingdings" w:hAnsi="Wingdings" w:hint="default"/>
      </w:rPr>
    </w:lvl>
    <w:lvl w:ilvl="6" w:tplc="04090001" w:tentative="1">
      <w:start w:val="1"/>
      <w:numFmt w:val="bullet"/>
      <w:lvlText w:val=""/>
      <w:lvlJc w:val="left"/>
      <w:pPr>
        <w:ind w:left="11343" w:hanging="360"/>
      </w:pPr>
      <w:rPr>
        <w:rFonts w:ascii="Symbol" w:hAnsi="Symbol" w:hint="default"/>
      </w:rPr>
    </w:lvl>
    <w:lvl w:ilvl="7" w:tplc="04090003" w:tentative="1">
      <w:start w:val="1"/>
      <w:numFmt w:val="bullet"/>
      <w:lvlText w:val="o"/>
      <w:lvlJc w:val="left"/>
      <w:pPr>
        <w:ind w:left="12063" w:hanging="360"/>
      </w:pPr>
      <w:rPr>
        <w:rFonts w:ascii="Courier New" w:hAnsi="Courier New" w:cs="Courier New" w:hint="default"/>
      </w:rPr>
    </w:lvl>
    <w:lvl w:ilvl="8" w:tplc="04090005" w:tentative="1">
      <w:start w:val="1"/>
      <w:numFmt w:val="bullet"/>
      <w:lvlText w:val=""/>
      <w:lvlJc w:val="left"/>
      <w:pPr>
        <w:ind w:left="12783" w:hanging="360"/>
      </w:pPr>
      <w:rPr>
        <w:rFonts w:ascii="Wingdings" w:hAnsi="Wingdings" w:hint="default"/>
      </w:rPr>
    </w:lvl>
  </w:abstractNum>
  <w:abstractNum w:abstractNumId="1">
    <w:nsid w:val="0F876038"/>
    <w:multiLevelType w:val="hybridMultilevel"/>
    <w:tmpl w:val="28D49C9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514FA9"/>
    <w:multiLevelType w:val="hybridMultilevel"/>
    <w:tmpl w:val="990AAFF4"/>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C751E"/>
    <w:multiLevelType w:val="hybridMultilevel"/>
    <w:tmpl w:val="A8AC4DD0"/>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37B45"/>
    <w:multiLevelType w:val="hybridMultilevel"/>
    <w:tmpl w:val="C78CCC9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7E4F7505"/>
    <w:multiLevelType w:val="hybridMultilevel"/>
    <w:tmpl w:val="0DFE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8F0E37"/>
    <w:rsid w:val="0004061E"/>
    <w:rsid w:val="00056B66"/>
    <w:rsid w:val="00102721"/>
    <w:rsid w:val="00141C00"/>
    <w:rsid w:val="00180C05"/>
    <w:rsid w:val="001C26C1"/>
    <w:rsid w:val="001D6DD3"/>
    <w:rsid w:val="001F1D14"/>
    <w:rsid w:val="00242D2F"/>
    <w:rsid w:val="002715FD"/>
    <w:rsid w:val="00303837"/>
    <w:rsid w:val="00377FCF"/>
    <w:rsid w:val="003845BC"/>
    <w:rsid w:val="00397A05"/>
    <w:rsid w:val="003E1F77"/>
    <w:rsid w:val="003E5275"/>
    <w:rsid w:val="00431A14"/>
    <w:rsid w:val="00441665"/>
    <w:rsid w:val="004C2A96"/>
    <w:rsid w:val="00510059"/>
    <w:rsid w:val="00570D01"/>
    <w:rsid w:val="005B25AA"/>
    <w:rsid w:val="005D7FC3"/>
    <w:rsid w:val="005E74C1"/>
    <w:rsid w:val="006053C8"/>
    <w:rsid w:val="00632057"/>
    <w:rsid w:val="006421BF"/>
    <w:rsid w:val="006574C3"/>
    <w:rsid w:val="006B03BC"/>
    <w:rsid w:val="00702831"/>
    <w:rsid w:val="00730C9E"/>
    <w:rsid w:val="007361E8"/>
    <w:rsid w:val="00743DE5"/>
    <w:rsid w:val="00751398"/>
    <w:rsid w:val="007A16B8"/>
    <w:rsid w:val="007B5772"/>
    <w:rsid w:val="00877EE5"/>
    <w:rsid w:val="00896DAF"/>
    <w:rsid w:val="008E4E59"/>
    <w:rsid w:val="008F0E37"/>
    <w:rsid w:val="008F2E5F"/>
    <w:rsid w:val="00901081"/>
    <w:rsid w:val="00980895"/>
    <w:rsid w:val="009A5E4F"/>
    <w:rsid w:val="009A735C"/>
    <w:rsid w:val="009E5DED"/>
    <w:rsid w:val="009F119B"/>
    <w:rsid w:val="009F1B3C"/>
    <w:rsid w:val="00A41423"/>
    <w:rsid w:val="00A41612"/>
    <w:rsid w:val="00A600C4"/>
    <w:rsid w:val="00A740D6"/>
    <w:rsid w:val="00A82118"/>
    <w:rsid w:val="00B124FC"/>
    <w:rsid w:val="00BB3BFD"/>
    <w:rsid w:val="00BC7B53"/>
    <w:rsid w:val="00BD6860"/>
    <w:rsid w:val="00BE2F15"/>
    <w:rsid w:val="00C02AB9"/>
    <w:rsid w:val="00C14FC5"/>
    <w:rsid w:val="00C454B3"/>
    <w:rsid w:val="00C461A1"/>
    <w:rsid w:val="00C56FF2"/>
    <w:rsid w:val="00C61C15"/>
    <w:rsid w:val="00CB5D7A"/>
    <w:rsid w:val="00CF302A"/>
    <w:rsid w:val="00D22BA1"/>
    <w:rsid w:val="00D31286"/>
    <w:rsid w:val="00D467B5"/>
    <w:rsid w:val="00D9235E"/>
    <w:rsid w:val="00DA0A06"/>
    <w:rsid w:val="00DC6432"/>
    <w:rsid w:val="00E135D8"/>
    <w:rsid w:val="00E26C89"/>
    <w:rsid w:val="00E3238D"/>
    <w:rsid w:val="00E72ABB"/>
    <w:rsid w:val="00E933B3"/>
    <w:rsid w:val="00EB3F2A"/>
    <w:rsid w:val="00EC23F3"/>
    <w:rsid w:val="00EF163D"/>
    <w:rsid w:val="00F24BD5"/>
    <w:rsid w:val="00F3565A"/>
    <w:rsid w:val="00F363ED"/>
    <w:rsid w:val="00FE1425"/>
    <w:rsid w:val="00FE4643"/>
    <w:rsid w:val="00FF1869"/>
    <w:rsid w:val="00FF2DA3"/>
    <w:rsid w:val="00F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66"/>
  </w:style>
  <w:style w:type="paragraph" w:styleId="Heading4">
    <w:name w:val="heading 4"/>
    <w:basedOn w:val="Normal"/>
    <w:next w:val="Normal"/>
    <w:link w:val="Heading4Char"/>
    <w:qFormat/>
    <w:rsid w:val="00242D2F"/>
    <w:pPr>
      <w:keepNext/>
      <w:spacing w:before="240" w:after="60"/>
      <w:ind w:left="1701"/>
      <w:jc w:val="both"/>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D2F"/>
    <w:rPr>
      <w:rFonts w:ascii="Times New Roman" w:eastAsia="MS Mincho" w:hAnsi="Times New Roman" w:cs="Times New Roman"/>
      <w:b/>
      <w:bCs/>
      <w:sz w:val="28"/>
      <w:szCs w:val="28"/>
    </w:rPr>
  </w:style>
  <w:style w:type="paragraph" w:styleId="ListParagraph">
    <w:name w:val="List Paragraph"/>
    <w:basedOn w:val="Normal"/>
    <w:uiPriority w:val="34"/>
    <w:qFormat/>
    <w:rsid w:val="00242D2F"/>
    <w:pPr>
      <w:spacing w:after="0" w:line="240" w:lineRule="auto"/>
      <w:ind w:left="720"/>
    </w:pPr>
    <w:rPr>
      <w:rFonts w:ascii="Calibri" w:eastAsia="Times New Roman" w:hAnsi="Calibri" w:cs="Calibri"/>
      <w:lang w:val="en-GB"/>
    </w:rPr>
  </w:style>
  <w:style w:type="paragraph" w:styleId="BalloonText">
    <w:name w:val="Balloon Text"/>
    <w:basedOn w:val="Normal"/>
    <w:link w:val="BalloonTextChar"/>
    <w:uiPriority w:val="99"/>
    <w:semiHidden/>
    <w:unhideWhenUsed/>
    <w:rsid w:val="0024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2F"/>
    <w:rPr>
      <w:rFonts w:ascii="Tahoma" w:hAnsi="Tahoma" w:cs="Tahoma"/>
      <w:sz w:val="16"/>
      <w:szCs w:val="16"/>
    </w:rPr>
  </w:style>
  <w:style w:type="paragraph" w:styleId="Header">
    <w:name w:val="header"/>
    <w:basedOn w:val="Normal"/>
    <w:link w:val="Head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HeaderChar">
    <w:name w:val="Header Char"/>
    <w:basedOn w:val="DefaultParagraphFont"/>
    <w:link w:val="Header"/>
    <w:uiPriority w:val="99"/>
    <w:rsid w:val="00242D2F"/>
    <w:rPr>
      <w:rFonts w:ascii="Trebuchet MS" w:eastAsia="MS Mincho" w:hAnsi="Trebuchet MS" w:cs="Times New Roman"/>
    </w:rPr>
  </w:style>
  <w:style w:type="paragraph" w:styleId="Footer">
    <w:name w:val="footer"/>
    <w:basedOn w:val="Normal"/>
    <w:link w:val="Foot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FooterChar">
    <w:name w:val="Footer Char"/>
    <w:basedOn w:val="DefaultParagraphFont"/>
    <w:link w:val="Footer"/>
    <w:uiPriority w:val="99"/>
    <w:rsid w:val="00242D2F"/>
    <w:rPr>
      <w:rFonts w:ascii="Trebuchet MS" w:eastAsia="MS Mincho" w:hAnsi="Trebuchet MS" w:cs="Times New Roman"/>
    </w:rPr>
  </w:style>
  <w:style w:type="character" w:styleId="PageNumber">
    <w:name w:val="page number"/>
    <w:basedOn w:val="DefaultParagraphFont"/>
    <w:rsid w:val="00242D2F"/>
  </w:style>
  <w:style w:type="character" w:styleId="Hyperlink">
    <w:name w:val="Hyperlink"/>
    <w:rsid w:val="00141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sorina.petrescu</dc:creator>
  <cp:lastModifiedBy>maria.manolache</cp:lastModifiedBy>
  <cp:revision>3</cp:revision>
  <dcterms:created xsi:type="dcterms:W3CDTF">2024-11-15T09:25:00Z</dcterms:created>
  <dcterms:modified xsi:type="dcterms:W3CDTF">2024-11-15T09:27:00Z</dcterms:modified>
</cp:coreProperties>
</file>