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74A" w:rsidRDefault="0091074A" w:rsidP="00A11A58"/>
    <w:tbl>
      <w:tblPr>
        <w:tblW w:w="11624" w:type="dxa"/>
        <w:tblInd w:w="-142" w:type="dxa"/>
        <w:tblCellMar>
          <w:left w:w="0" w:type="dxa"/>
          <w:right w:w="0" w:type="dxa"/>
        </w:tblCellMar>
        <w:tblLook w:val="04A0"/>
      </w:tblPr>
      <w:tblGrid>
        <w:gridCol w:w="6804"/>
        <w:gridCol w:w="4820"/>
      </w:tblGrid>
      <w:tr w:rsidR="0091074A" w:rsidTr="007A0A53">
        <w:tc>
          <w:tcPr>
            <w:tcW w:w="6804" w:type="dxa"/>
            <w:shd w:val="clear" w:color="auto" w:fill="auto"/>
          </w:tcPr>
          <w:p w:rsidR="0091074A" w:rsidRPr="00CD5B3B" w:rsidRDefault="0091074A" w:rsidP="007A0A53">
            <w:pPr>
              <w:pStyle w:val="MediumGrid21"/>
            </w:pPr>
            <w:r w:rsidRPr="00616FA5">
              <w:rPr>
                <w:noProof/>
              </w:rPr>
              <w:pict>
                <v:shapetype id="_x0000_t202" coordsize="21600,21600" o:spt="202" path="m,l,21600r21600,l21600,xe">
                  <v:stroke joinstyle="miter"/>
                  <v:path gradientshapeok="t" o:connecttype="rect"/>
                </v:shapetype>
                <v:shape id="Text Box 2" o:spid="_x0000_s1026" type="#_x0000_t202" style="position:absolute;margin-left:88.3pt;margin-top:8.75pt;width:339.7pt;height:4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style="mso-next-textbox:#Text Box 2">
                    <w:txbxContent>
                      <w:p w:rsidR="0091074A" w:rsidRDefault="0091074A" w:rsidP="0091074A">
                        <w:pPr>
                          <w:rPr>
                            <w:smallCaps/>
                            <w:sz w:val="32"/>
                          </w:rPr>
                        </w:pPr>
                        <w:r w:rsidRPr="00F5245E">
                          <w:rPr>
                            <w:smallCaps/>
                            <w:sz w:val="32"/>
                          </w:rPr>
                          <w:t xml:space="preserve">Inspecţia Muncii </w:t>
                        </w:r>
                      </w:p>
                      <w:p w:rsidR="0091074A" w:rsidRDefault="0091074A" w:rsidP="0091074A">
                        <w:pPr>
                          <w:rPr>
                            <w:smallCaps/>
                            <w:sz w:val="32"/>
                          </w:rPr>
                        </w:pPr>
                        <w:r>
                          <w:rPr>
                            <w:smallCaps/>
                            <w:sz w:val="32"/>
                          </w:rPr>
                          <w:t xml:space="preserve">inspectoratul teritorial de muncă </w:t>
                        </w:r>
                        <w:proofErr w:type="spellStart"/>
                        <w:r>
                          <w:rPr>
                            <w:smallCaps/>
                            <w:sz w:val="32"/>
                          </w:rPr>
                          <w:t>timiş</w:t>
                        </w:r>
                        <w:proofErr w:type="spellEnd"/>
                      </w:p>
                      <w:p w:rsidR="0091074A" w:rsidRDefault="0091074A" w:rsidP="0091074A">
                        <w:pPr>
                          <w:rPr>
                            <w:smallCaps/>
                            <w:sz w:val="32"/>
                          </w:rPr>
                        </w:pPr>
                      </w:p>
                      <w:p w:rsidR="0091074A" w:rsidRPr="00F5245E" w:rsidRDefault="0091074A" w:rsidP="0091074A">
                        <w:pPr>
                          <w:rPr>
                            <w:smallCaps/>
                            <w:sz w:val="32"/>
                          </w:rPr>
                        </w:pPr>
                      </w:p>
                    </w:txbxContent>
                  </v:textbox>
                </v:shape>
              </w:pict>
            </w:r>
            <w:r>
              <w:rPr>
                <w:noProof/>
                <w:lang w:val="ro-RO" w:eastAsia="ro-RO"/>
              </w:rPr>
              <w:drawing>
                <wp:inline distT="0" distB="0" distL="0" distR="0">
                  <wp:extent cx="981710" cy="943610"/>
                  <wp:effectExtent l="19050" t="0" r="8890" b="0"/>
                  <wp:docPr id="1" name="Imagin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4" cstate="print"/>
                          <a:srcRect/>
                          <a:stretch>
                            <a:fillRect/>
                          </a:stretch>
                        </pic:blipFill>
                        <pic:spPr bwMode="auto">
                          <a:xfrm>
                            <a:off x="0" y="0"/>
                            <a:ext cx="981710" cy="943610"/>
                          </a:xfrm>
                          <a:prstGeom prst="rect">
                            <a:avLst/>
                          </a:prstGeom>
                          <a:noFill/>
                          <a:ln w="9525">
                            <a:noFill/>
                            <a:miter lim="800000"/>
                            <a:headEnd/>
                            <a:tailEnd/>
                          </a:ln>
                        </pic:spPr>
                      </pic:pic>
                    </a:graphicData>
                  </a:graphic>
                </wp:inline>
              </w:drawing>
            </w:r>
            <w:r>
              <w:rPr>
                <w:noProof/>
              </w:rPr>
              <w:t xml:space="preserve">                                  </w:t>
            </w:r>
          </w:p>
        </w:tc>
        <w:tc>
          <w:tcPr>
            <w:tcW w:w="4820" w:type="dxa"/>
            <w:shd w:val="clear" w:color="auto" w:fill="auto"/>
            <w:vAlign w:val="center"/>
          </w:tcPr>
          <w:p w:rsidR="0091074A" w:rsidRDefault="0091074A" w:rsidP="007A0A53">
            <w:pPr>
              <w:pStyle w:val="MediumGrid21"/>
              <w:ind w:left="993" w:right="709" w:firstLine="142"/>
            </w:pPr>
          </w:p>
        </w:tc>
      </w:tr>
    </w:tbl>
    <w:p w:rsidR="0091074A" w:rsidRDefault="0091074A" w:rsidP="00A11A58"/>
    <w:p w:rsidR="00A11A58" w:rsidRDefault="00A11A58" w:rsidP="00A11A58">
      <w:r>
        <w:t>C</w:t>
      </w:r>
      <w:r w:rsidR="0091074A">
        <w:t>OMUNICAT</w:t>
      </w:r>
    </w:p>
    <w:p w:rsidR="00A11A58" w:rsidRDefault="00A11A58" w:rsidP="00A11A58">
      <w:r>
        <w:t> </w:t>
      </w:r>
    </w:p>
    <w:p w:rsidR="00A11A58" w:rsidRDefault="00A11A58" w:rsidP="00A11A58">
      <w:proofErr w:type="spellStart"/>
      <w:r>
        <w:t>Actiune</w:t>
      </w:r>
      <w:proofErr w:type="spellEnd"/>
      <w:r>
        <w:t xml:space="preserve"> de control la hoteluri si restaurante</w:t>
      </w:r>
      <w:r w:rsidR="0091074A">
        <w:t xml:space="preserve"> (HORECA)</w:t>
      </w:r>
    </w:p>
    <w:p w:rsidR="00A11A58" w:rsidRDefault="00A11A58" w:rsidP="00A11A58"/>
    <w:p w:rsidR="00A11A58" w:rsidRDefault="00A11A58" w:rsidP="00A11A58">
      <w:proofErr w:type="spellStart"/>
      <w:r>
        <w:t>Incepând</w:t>
      </w:r>
      <w:proofErr w:type="spellEnd"/>
      <w:r>
        <w:t xml:space="preserve"> din trimestrul I, pe întreg parcursul acestui an, ITM Timiș, prin serviciul Securitate și Sănătate în muncă, va desfășura o campanie de verificare a agenților economici din domeniile hotelier cod CAEN 55 și restaurante si alte </w:t>
      </w:r>
      <w:proofErr w:type="spellStart"/>
      <w:r>
        <w:t>activitati</w:t>
      </w:r>
      <w:proofErr w:type="spellEnd"/>
      <w:r>
        <w:t xml:space="preserve"> se servicii alimentare cod CAEN 56. Activitatea acestor tipuri de </w:t>
      </w:r>
      <w:proofErr w:type="spellStart"/>
      <w:r>
        <w:t>agenti</w:t>
      </w:r>
      <w:proofErr w:type="spellEnd"/>
      <w:r>
        <w:t xml:space="preserve"> economici acoperă o gamă largă de </w:t>
      </w:r>
      <w:proofErr w:type="spellStart"/>
      <w:r>
        <w:t>activităti</w:t>
      </w:r>
      <w:proofErr w:type="spellEnd"/>
      <w:r>
        <w:t xml:space="preserve"> diferite incluzând hotelurile, restaurantele, serviciile fast </w:t>
      </w:r>
      <w:proofErr w:type="spellStart"/>
      <w:r>
        <w:t>food</w:t>
      </w:r>
      <w:proofErr w:type="spellEnd"/>
      <w:r>
        <w:t>, cantinele, cafenelele, cofetăriile etc. Factorii de ordin social care influențează aceste sectoare de activitate sunt următorii: </w:t>
      </w:r>
    </w:p>
    <w:p w:rsidR="00A11A58" w:rsidRDefault="00A11A58" w:rsidP="00A11A58">
      <w:r>
        <w:t>• caracterul sezonier de muncă </w:t>
      </w:r>
    </w:p>
    <w:p w:rsidR="00A11A58" w:rsidRDefault="00A11A58" w:rsidP="00A11A58">
      <w:r>
        <w:t xml:space="preserve">• în acest sector sunt </w:t>
      </w:r>
      <w:proofErr w:type="spellStart"/>
      <w:r>
        <w:t>angajati</w:t>
      </w:r>
      <w:proofErr w:type="spellEnd"/>
      <w:r>
        <w:t xml:space="preserve"> </w:t>
      </w:r>
      <w:proofErr w:type="spellStart"/>
      <w:r>
        <w:t>multi</w:t>
      </w:r>
      <w:proofErr w:type="spellEnd"/>
      <w:r>
        <w:t xml:space="preserve"> lucrători sezonieri, care nu au timp să se adapteze la această activitate; </w:t>
      </w:r>
    </w:p>
    <w:p w:rsidR="00A11A58" w:rsidRDefault="00A11A58" w:rsidP="00A11A58">
      <w:r>
        <w:t xml:space="preserve">• sunt angajați </w:t>
      </w:r>
      <w:proofErr w:type="spellStart"/>
      <w:r>
        <w:t>multi</w:t>
      </w:r>
      <w:proofErr w:type="spellEnd"/>
      <w:r>
        <w:t xml:space="preserve"> lucrători tineri care nu sunt obișnuiți cu lucrul, nu și-au dezvoltat încă </w:t>
      </w:r>
      <w:proofErr w:type="spellStart"/>
      <w:r>
        <w:t>abilitătile</w:t>
      </w:r>
      <w:proofErr w:type="spellEnd"/>
      <w:r>
        <w:t xml:space="preserve"> necesare; </w:t>
      </w:r>
    </w:p>
    <w:p w:rsidR="00A11A58" w:rsidRDefault="00A11A58" w:rsidP="00A11A58">
      <w:r>
        <w:t xml:space="preserve">• instabilitatea angajamentului </w:t>
      </w:r>
      <w:proofErr w:type="spellStart"/>
      <w:r>
        <w:t>fortei</w:t>
      </w:r>
      <w:proofErr w:type="spellEnd"/>
      <w:r>
        <w:t xml:space="preserve"> de muncă; </w:t>
      </w:r>
    </w:p>
    <w:p w:rsidR="00A11A58" w:rsidRDefault="00A11A58" w:rsidP="00A11A58">
      <w:r>
        <w:t>• rulajul forței de muncă; </w:t>
      </w:r>
    </w:p>
    <w:p w:rsidR="00A11A58" w:rsidRDefault="00A11A58" w:rsidP="00A11A58">
      <w:r>
        <w:t xml:space="preserve">• suplinirea lipsei de personal prin angajarea lucrătorilor de altă </w:t>
      </w:r>
      <w:proofErr w:type="spellStart"/>
      <w:r>
        <w:t>nationalitate</w:t>
      </w:r>
      <w:proofErr w:type="spellEnd"/>
      <w:r>
        <w:t>.</w:t>
      </w:r>
    </w:p>
    <w:p w:rsidR="00A11A58" w:rsidRDefault="00A11A58" w:rsidP="00A11A58">
      <w:r>
        <w:t xml:space="preserve">Scopul campaniei este de creștere a gradului de conștientizare, atât a </w:t>
      </w:r>
      <w:proofErr w:type="spellStart"/>
      <w:r>
        <w:t>angajatilor</w:t>
      </w:r>
      <w:proofErr w:type="spellEnd"/>
      <w:r>
        <w:t xml:space="preserve"> cât a angajatorilor în ceea ce privește necesitatea aplicării respectării la locul de muncă a legislației specifice în domeniul securității și sănătății în muncă. Securitatea, sănătatea în muncă a lucrătorilor care </w:t>
      </w:r>
      <w:proofErr w:type="spellStart"/>
      <w:r>
        <w:t>desfăsoară</w:t>
      </w:r>
      <w:proofErr w:type="spellEnd"/>
      <w:r>
        <w:t xml:space="preserve"> </w:t>
      </w:r>
      <w:proofErr w:type="spellStart"/>
      <w:r>
        <w:t>activităti</w:t>
      </w:r>
      <w:proofErr w:type="spellEnd"/>
      <w:r>
        <w:t xml:space="preserve"> în domeniul hotelier și al serviciilor de alimentație publică în care intră restaurantele, fast-food-urile, cantinele, cafenelele, bistrourile, cluburile, discotecile trebuie să fie permanent în </w:t>
      </w:r>
      <w:proofErr w:type="spellStart"/>
      <w:r>
        <w:t>atentia</w:t>
      </w:r>
      <w:proofErr w:type="spellEnd"/>
      <w:r>
        <w:t xml:space="preserve"> angajatorilor deoarece angajații sunt expuși la o serie întreagă de riscuri de accidentare la locul de muncă, după cum urmează: arsuri termice, tăieturi, </w:t>
      </w:r>
      <w:proofErr w:type="spellStart"/>
      <w:r>
        <w:t>întepături</w:t>
      </w:r>
      <w:proofErr w:type="spellEnd"/>
      <w:r>
        <w:t>; riscuri electrice; căderi la același nivel</w:t>
      </w:r>
      <w:r w:rsidR="00A868B5">
        <w:t xml:space="preserve"> prin alunecare sau împiedicare</w:t>
      </w:r>
      <w:r>
        <w:t xml:space="preserve">; volumul de muncă ridicat și muncă sub presiune; activități repetitive; medii de muncă în care există temperaturi înalte sau scăzute, </w:t>
      </w:r>
      <w:proofErr w:type="spellStart"/>
      <w:r>
        <w:t>combinatie</w:t>
      </w:r>
      <w:proofErr w:type="spellEnd"/>
      <w:r>
        <w:t xml:space="preserve"> între temperaturi ridicate </w:t>
      </w:r>
      <w:proofErr w:type="spellStart"/>
      <w:r>
        <w:t>curenti</w:t>
      </w:r>
      <w:proofErr w:type="spellEnd"/>
      <w:r>
        <w:t xml:space="preserve"> de aer, alternarea între căldură și umiditate, pe de o parte și frig, ca în cazul încăperilor de depozitare a alimentelor, pe de altă parte; expunere la niveluri ridicate de zgomot.</w:t>
      </w:r>
    </w:p>
    <w:p w:rsidR="00A11A58" w:rsidRDefault="00A11A58" w:rsidP="00A11A58">
      <w:r>
        <w:t xml:space="preserve">La nivelul județului Timiș, în ultimii doi ani s-au înregistrat </w:t>
      </w:r>
      <w:proofErr w:type="spellStart"/>
      <w:r>
        <w:t>cateva</w:t>
      </w:r>
      <w:proofErr w:type="spellEnd"/>
      <w:r>
        <w:t xml:space="preserve"> accidente de muncă la angajatori din domeniile de activitate ale turismului și aliment</w:t>
      </w:r>
      <w:r w:rsidR="00BF56FF">
        <w:t>ației publice, accidente care unul s-a</w:t>
      </w:r>
      <w:r>
        <w:t xml:space="preserve"> soldat cu decesul </w:t>
      </w:r>
      <w:r w:rsidR="00555DE7">
        <w:t>lucratorului</w:t>
      </w:r>
      <w:r>
        <w:t xml:space="preserve"> dar au existat consecințe asupra stării lor de sănătate, creând perioade de incapacitate temporară de muncă aferente afecțiunilor survenite în urma acestor evenimente. Cauze ale accidentelor de muncă în aceste domenii de activitate menționăm împiedicarea și căderea de la același nivel al lucrătorilor, arsuri datorită manipulării echipamentelor de muncă, lovituri/traumatisme provocate de neatenția sau graba în activitate, afecțiuni provocate de manipularea maselor cât și accidente de muncă de traseu produse în timpul deplasării de la și la locul de muncă al victimelor.</w:t>
      </w:r>
    </w:p>
    <w:p w:rsidR="00A81615" w:rsidRDefault="00E54ABC"/>
    <w:sectPr w:rsidR="00A81615" w:rsidSect="00A82A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1"/>
  <w:doNotDisplayPageBoundaries/>
  <w:proofState w:spelling="clean" w:grammar="clean"/>
  <w:defaultTabStop w:val="708"/>
  <w:hyphenationZone w:val="425"/>
  <w:characterSpacingControl w:val="doNotCompress"/>
  <w:compat/>
  <w:rsids>
    <w:rsidRoot w:val="00A11A58"/>
    <w:rsid w:val="00242635"/>
    <w:rsid w:val="002C08CE"/>
    <w:rsid w:val="00364882"/>
    <w:rsid w:val="003E0974"/>
    <w:rsid w:val="00555DE7"/>
    <w:rsid w:val="0076610A"/>
    <w:rsid w:val="0091074A"/>
    <w:rsid w:val="00A11A58"/>
    <w:rsid w:val="00A82A0D"/>
    <w:rsid w:val="00A868B5"/>
    <w:rsid w:val="00AD1925"/>
    <w:rsid w:val="00BF56FF"/>
    <w:rsid w:val="00E021BE"/>
    <w:rsid w:val="00E54ABC"/>
    <w:rsid w:val="00E81B7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A58"/>
    <w:pPr>
      <w:spacing w:after="0" w:line="240" w:lineRule="auto"/>
    </w:pPr>
    <w:rPr>
      <w:rFonts w:ascii="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ediumGrid21">
    <w:name w:val="Medium Grid 21"/>
    <w:uiPriority w:val="1"/>
    <w:qFormat/>
    <w:rsid w:val="0091074A"/>
    <w:pPr>
      <w:spacing w:after="0" w:line="240" w:lineRule="auto"/>
    </w:pPr>
    <w:rPr>
      <w:rFonts w:ascii="Trebuchet MS" w:eastAsia="MS Mincho" w:hAnsi="Trebuchet MS" w:cs="Times New Roman"/>
      <w:sz w:val="18"/>
      <w:szCs w:val="18"/>
      <w:lang w:val="en-US"/>
    </w:rPr>
  </w:style>
  <w:style w:type="paragraph" w:styleId="TextnBalon">
    <w:name w:val="Balloon Text"/>
    <w:basedOn w:val="Normal"/>
    <w:link w:val="TextnBalonCaracter"/>
    <w:uiPriority w:val="99"/>
    <w:semiHidden/>
    <w:unhideWhenUsed/>
    <w:rsid w:val="0091074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1074A"/>
    <w:rPr>
      <w:rFonts w:ascii="Tahoma" w:hAnsi="Tahoma" w:cs="Tahoma"/>
      <w:sz w:val="16"/>
      <w:szCs w:val="16"/>
      <w:lang w:eastAsia="ro-RO"/>
    </w:rPr>
  </w:style>
</w:styles>
</file>

<file path=word/webSettings.xml><?xml version="1.0" encoding="utf-8"?>
<w:webSettings xmlns:r="http://schemas.openxmlformats.org/officeDocument/2006/relationships" xmlns:w="http://schemas.openxmlformats.org/wordprocessingml/2006/main">
  <w:divs>
    <w:div w:id="5092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445</Words>
  <Characters>2582</Characters>
  <Application>Microsoft Office Word</Application>
  <DocSecurity>0</DocSecurity>
  <Lines>21</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ramona.dzitac</dc:creator>
  <cp:lastModifiedBy>ramona.dzitac</cp:lastModifiedBy>
  <cp:revision>6</cp:revision>
  <cp:lastPrinted>2023-03-24T07:12:00Z</cp:lastPrinted>
  <dcterms:created xsi:type="dcterms:W3CDTF">2023-03-13T10:36:00Z</dcterms:created>
  <dcterms:modified xsi:type="dcterms:W3CDTF">2023-03-24T07:23:00Z</dcterms:modified>
</cp:coreProperties>
</file>